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1991"/>
        <w:gridCol w:w="6626"/>
      </w:tblGrid>
      <w:tr>
        <w:trPr>
          <w:trHeight w:val="619"/>
        </w:trPr>
        <w:tc>
          <w:tcPr>
            <w:tcW w:w="1991" w:type="dxa"/>
            <w:vMerge w:val="restart"/>
          </w:tcPr>
          <w:p>
            <w:pPr>
              <w:spacing w:after="0" w:line="240" w:lineRule="auto"/>
              <w:jc w:val="center"/>
              <w:rPr>
                <w:rFonts w:eastAsia="Times New Roman" w:cstheme="minorHAnsi"/>
                <w:b/>
                <w:color w:val="FF0000"/>
                <w:sz w:val="16"/>
                <w:szCs w:val="16"/>
                <w:lang w:eastAsia="fr-FR"/>
              </w:rPr>
            </w:pPr>
            <w:bookmarkStart w:id="0" w:name="_GoBack"/>
            <w:bookmarkEnd w:id="0"/>
            <w:r>
              <w:rPr>
                <w:rFonts w:eastAsia="Times New Roman" w:cstheme="minorHAnsi"/>
                <w:b/>
                <w:noProof/>
                <w:color w:val="FF0000"/>
                <w:sz w:val="16"/>
                <w:szCs w:val="16"/>
                <w:lang w:eastAsia="fr-BE"/>
              </w:rPr>
              <w:drawing>
                <wp:anchor distT="0" distB="0" distL="114300" distR="114300" simplePos="0" relativeHeight="251659264"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2" name="Image 2"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a:ln>
                            <a:noFill/>
                          </a:ln>
                        </pic:spPr>
                      </pic:pic>
                    </a:graphicData>
                  </a:graphic>
                  <wp14:sizeRelH relativeFrom="page">
                    <wp14:pctWidth>0</wp14:pctWidth>
                  </wp14:sizeRelH>
                  <wp14:sizeRelV relativeFrom="page">
                    <wp14:pctHeight>0</wp14:pctHeight>
                  </wp14:sizeRelV>
                </wp:anchor>
              </w:drawing>
            </w:r>
          </w:p>
          <w:p>
            <w:pPr>
              <w:spacing w:after="0" w:line="240" w:lineRule="auto"/>
              <w:jc w:val="center"/>
              <w:rPr>
                <w:rFonts w:eastAsia="Times New Roman" w:cstheme="minorHAnsi"/>
                <w:b/>
                <w:color w:val="FF0000"/>
                <w:sz w:val="16"/>
                <w:szCs w:val="16"/>
                <w:lang w:eastAsia="fr-FR"/>
              </w:rPr>
            </w:pPr>
          </w:p>
        </w:tc>
        <w:tc>
          <w:tcPr>
            <w:tcW w:w="6626" w:type="dxa"/>
            <w:tcBorders>
              <w:bottom w:val="single" w:sz="4" w:space="0" w:color="auto"/>
            </w:tcBorders>
          </w:tcPr>
          <w:p>
            <w:pPr>
              <w:tabs>
                <w:tab w:val="left" w:pos="4530"/>
              </w:tabs>
              <w:spacing w:after="0" w:line="240" w:lineRule="auto"/>
              <w:rPr>
                <w:rFonts w:eastAsia="Times New Roman" w:cstheme="minorHAnsi"/>
                <w:b/>
                <w:sz w:val="24"/>
                <w:szCs w:val="24"/>
                <w:lang w:eastAsia="fr-FR"/>
              </w:rPr>
            </w:pPr>
            <w:r>
              <w:rPr>
                <w:rFonts w:eastAsia="Times New Roman" w:cstheme="minorHAnsi"/>
                <w:b/>
                <w:sz w:val="24"/>
                <w:szCs w:val="24"/>
                <w:lang w:eastAsia="fr-FR"/>
              </w:rPr>
              <w:t>Circulaire 6685</w:t>
            </w:r>
            <w:r>
              <w:rPr>
                <w:rFonts w:eastAsia="Times New Roman" w:cstheme="minorHAnsi"/>
                <w:b/>
                <w:sz w:val="24"/>
                <w:szCs w:val="24"/>
                <w:lang w:eastAsia="fr-FR"/>
              </w:rPr>
              <w:tab/>
              <w:t>du 01/06/2018</w:t>
            </w:r>
          </w:p>
          <w:p>
            <w:pPr>
              <w:spacing w:after="0" w:line="240" w:lineRule="auto"/>
              <w:rPr>
                <w:rFonts w:eastAsia="Times New Roman" w:cstheme="minorHAnsi"/>
                <w:sz w:val="24"/>
                <w:szCs w:val="24"/>
                <w:lang w:eastAsia="fr-FR"/>
              </w:rPr>
            </w:pPr>
          </w:p>
          <w:p>
            <w:pPr>
              <w:spacing w:after="0" w:line="240" w:lineRule="auto"/>
              <w:jc w:val="both"/>
              <w:rPr>
                <w:rFonts w:eastAsia="Times New Roman" w:cstheme="minorHAnsi"/>
                <w:b/>
                <w:sz w:val="24"/>
                <w:szCs w:val="24"/>
                <w:lang w:eastAsia="fr-FR"/>
              </w:rPr>
            </w:pPr>
            <w:r>
              <w:rPr>
                <w:rFonts w:eastAsia="Times New Roman" w:cstheme="minorHAnsi"/>
                <w:b/>
                <w:sz w:val="24"/>
                <w:szCs w:val="24"/>
                <w:u w:val="thick"/>
                <w:lang w:eastAsia="fr-FR"/>
              </w:rPr>
              <w:t>Objet </w:t>
            </w:r>
            <w:r>
              <w:rPr>
                <w:rFonts w:eastAsia="Times New Roman" w:cstheme="minorHAnsi"/>
                <w:b/>
                <w:sz w:val="24"/>
                <w:szCs w:val="24"/>
                <w:lang w:eastAsia="fr-FR"/>
              </w:rPr>
              <w:t>:</w:t>
            </w:r>
            <w:r>
              <w:rPr>
                <w:rFonts w:eastAsia="Times New Roman" w:cstheme="minorHAnsi"/>
                <w:sz w:val="24"/>
                <w:szCs w:val="24"/>
                <w:lang w:eastAsia="fr-FR"/>
              </w:rPr>
              <w:t xml:space="preserve"> </w:t>
            </w:r>
            <w:proofErr w:type="spellStart"/>
            <w:r>
              <w:rPr>
                <w:rFonts w:eastAsia="Times New Roman" w:cstheme="minorHAnsi"/>
                <w:b/>
                <w:sz w:val="24"/>
                <w:szCs w:val="24"/>
                <w:lang w:eastAsia="fr-FR"/>
              </w:rPr>
              <w:t>Statutarisation</w:t>
            </w:r>
            <w:proofErr w:type="spellEnd"/>
            <w:r>
              <w:rPr>
                <w:rFonts w:eastAsia="Times New Roman" w:cstheme="minorHAnsi"/>
                <w:b/>
                <w:sz w:val="24"/>
                <w:szCs w:val="24"/>
                <w:lang w:eastAsia="fr-FR"/>
              </w:rPr>
              <w:t xml:space="preserve"> des emplois ACS/APE dans la fonction de maître de psychomotricité </w:t>
            </w:r>
            <w:r>
              <w:rPr>
                <w:b/>
                <w:sz w:val="24"/>
                <w:szCs w:val="24"/>
                <w:lang w:eastAsia="fr-FR"/>
              </w:rPr>
              <w:t xml:space="preserve">dans l’enseignement fondamental ordinaire </w:t>
            </w:r>
            <w:r>
              <w:rPr>
                <w:rFonts w:eastAsia="Times New Roman" w:cstheme="minorHAnsi"/>
                <w:b/>
                <w:sz w:val="24"/>
                <w:szCs w:val="24"/>
                <w:lang w:eastAsia="fr-FR"/>
              </w:rPr>
              <w:t>et mise en place corrélative de procédures particulières d’attribution des emplois organiques de maître de psychomotricité pour l’année scolaire 2018-2019 (Enseignement officiel subventionné) – Appel à lancer par les pouvoirs organisateurs</w:t>
            </w:r>
          </w:p>
        </w:tc>
      </w:tr>
      <w:tr>
        <w:trPr>
          <w:trHeight w:val="125"/>
        </w:trPr>
        <w:tc>
          <w:tcPr>
            <w:tcW w:w="1991" w:type="dxa"/>
            <w:vMerge/>
          </w:tcPr>
          <w:p>
            <w:pPr>
              <w:spacing w:after="0" w:line="240" w:lineRule="auto"/>
              <w:jc w:val="center"/>
              <w:rPr>
                <w:rFonts w:eastAsia="Times New Roman" w:cstheme="minorHAnsi"/>
                <w:b/>
                <w:color w:val="FF0000"/>
                <w:sz w:val="16"/>
                <w:szCs w:val="16"/>
                <w:lang w:eastAsia="fr-FR"/>
              </w:rPr>
            </w:pPr>
          </w:p>
        </w:tc>
        <w:tc>
          <w:tcPr>
            <w:tcW w:w="6626" w:type="dxa"/>
            <w:tcBorders>
              <w:top w:val="single" w:sz="4" w:space="0" w:color="auto"/>
            </w:tcBorders>
          </w:tcPr>
          <w:p>
            <w:pPr>
              <w:spacing w:after="0" w:line="240" w:lineRule="auto"/>
              <w:rPr>
                <w:rFonts w:eastAsia="Times New Roman" w:cstheme="minorHAnsi"/>
                <w:b/>
                <w:i/>
                <w:color w:val="000000"/>
                <w:sz w:val="24"/>
                <w:szCs w:val="24"/>
                <w:lang w:eastAsia="fr-FR"/>
              </w:rPr>
            </w:pPr>
          </w:p>
        </w:tc>
      </w:tr>
    </w:tbl>
    <w:p>
      <w:pPr>
        <w:rPr>
          <w:rFonts w:cstheme="minorHAnsi"/>
          <w:b/>
          <w:bCs/>
          <w:cap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5363"/>
        <w:gridCol w:w="479"/>
      </w:tblGrid>
      <w:tr>
        <w:trPr>
          <w:trHeight w:val="1500"/>
        </w:trPr>
        <w:tc>
          <w:tcPr>
            <w:tcW w:w="3369" w:type="dxa"/>
            <w:vMerge w:val="restart"/>
          </w:tcPr>
          <w:p>
            <w:pPr>
              <w:spacing w:after="0" w:line="240" w:lineRule="auto"/>
              <w:ind w:left="180" w:hanging="180"/>
              <w:rPr>
                <w:rFonts w:eastAsia="Times New Roman" w:cstheme="minorHAnsi"/>
                <w:b/>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Réseaux et niveaux concernés</w:t>
            </w: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3"/>
                  <w:enabled/>
                  <w:calcOnExit w:val="0"/>
                  <w:checkBox>
                    <w:sizeAuto/>
                    <w:default w:val="0"/>
                    <w:checked w:val="0"/>
                  </w:checkBox>
                </w:ffData>
              </w:fldChar>
            </w:r>
            <w:bookmarkStart w:id="1" w:name="CaseACocher3"/>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
            <w:r>
              <w:rPr>
                <w:rFonts w:eastAsia="Times New Roman" w:cstheme="minorHAnsi"/>
                <w:sz w:val="20"/>
                <w:szCs w:val="20"/>
                <w:lang w:eastAsia="fr-FR"/>
              </w:rPr>
              <w:t xml:space="preserve"> Fédération Wallonie-Bruxelles </w:t>
            </w:r>
          </w:p>
          <w:p>
            <w:pPr>
              <w:spacing w:after="0" w:line="240" w:lineRule="auto"/>
              <w:ind w:left="180" w:hanging="180"/>
              <w:rPr>
                <w:rFonts w:eastAsia="Times New Roman" w:cstheme="minorHAnsi"/>
                <w:sz w:val="20"/>
                <w:szCs w:val="20"/>
                <w:lang w:eastAsia="fr-FR"/>
              </w:rPr>
            </w:pP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4"/>
                  <w:enabled/>
                  <w:calcOnExit w:val="0"/>
                  <w:checkBox>
                    <w:sizeAuto/>
                    <w:default w:val="0"/>
                  </w:checkBox>
                </w:ffData>
              </w:fldChar>
            </w:r>
            <w:bookmarkStart w:id="2" w:name="CaseACocher4"/>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2"/>
            <w:r>
              <w:rPr>
                <w:rFonts w:eastAsia="Times New Roman" w:cstheme="minorHAnsi"/>
                <w:sz w:val="20"/>
                <w:szCs w:val="20"/>
                <w:lang w:eastAsia="fr-FR"/>
              </w:rPr>
              <w:t xml:space="preserve">  Libre subventionné</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5"/>
                  <w:enabled/>
                  <w:calcOnExit w:val="0"/>
                  <w:checkBox>
                    <w:sizeAuto/>
                    <w:default w:val="0"/>
                  </w:checkBox>
                </w:ffData>
              </w:fldChar>
            </w:r>
            <w:bookmarkStart w:id="3" w:name="CaseACocher5"/>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3"/>
            <w:r>
              <w:rPr>
                <w:rFonts w:eastAsia="Times New Roman" w:cstheme="minorHAnsi"/>
                <w:sz w:val="20"/>
                <w:szCs w:val="20"/>
                <w:lang w:eastAsia="fr-FR"/>
              </w:rPr>
              <w:t xml:space="preserve"> libre confessionnel </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6"/>
                  <w:enabled/>
                  <w:calcOnExit w:val="0"/>
                  <w:checkBox>
                    <w:sizeAuto/>
                    <w:default w:val="0"/>
                  </w:checkBox>
                </w:ffData>
              </w:fldChar>
            </w:r>
            <w:bookmarkStart w:id="4" w:name="CaseACocher6"/>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4"/>
            <w:r>
              <w:rPr>
                <w:rFonts w:eastAsia="Times New Roman" w:cstheme="minorHAnsi"/>
                <w:sz w:val="20"/>
                <w:szCs w:val="20"/>
                <w:lang w:eastAsia="fr-FR"/>
              </w:rPr>
              <w:t xml:space="preserve"> libre non confessionnel </w:t>
            </w:r>
          </w:p>
          <w:p>
            <w:pPr>
              <w:spacing w:after="0" w:line="240" w:lineRule="auto"/>
              <w:ind w:left="180" w:hanging="180"/>
              <w:rPr>
                <w:rFonts w:eastAsia="Times New Roman" w:cstheme="minorHAnsi"/>
                <w:sz w:val="20"/>
                <w:szCs w:val="20"/>
                <w:lang w:eastAsia="fr-FR"/>
              </w:rPr>
            </w:pP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7"/>
                  <w:enabled/>
                  <w:calcOnExit w:val="0"/>
                  <w:checkBox>
                    <w:sizeAuto/>
                    <w:default w:val="1"/>
                  </w:checkBox>
                </w:ffData>
              </w:fldChar>
            </w:r>
            <w:bookmarkStart w:id="5" w:name="CaseACocher7"/>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5"/>
            <w:r>
              <w:rPr>
                <w:rFonts w:eastAsia="Times New Roman" w:cstheme="minorHAnsi"/>
                <w:sz w:val="20"/>
                <w:szCs w:val="20"/>
                <w:lang w:eastAsia="fr-FR"/>
              </w:rPr>
              <w:t>Officiel subventionné</w:t>
            </w:r>
          </w:p>
          <w:p>
            <w:pPr>
              <w:spacing w:after="0" w:line="240" w:lineRule="auto"/>
              <w:rPr>
                <w:rFonts w:eastAsia="Times New Roman" w:cstheme="minorHAnsi"/>
                <w:color w:val="000000"/>
                <w:sz w:val="20"/>
                <w:szCs w:val="20"/>
                <w:lang w:eastAsia="fr-FR"/>
              </w:rPr>
            </w:pPr>
            <w:r>
              <w:rPr>
                <w:rFonts w:eastAsia="Times New Roman" w:cstheme="minorHAnsi"/>
                <w:color w:val="FF0000"/>
                <w:sz w:val="20"/>
                <w:szCs w:val="20"/>
                <w:lang w:eastAsia="fr-FR"/>
              </w:rPr>
              <w:br/>
            </w:r>
            <w:bookmarkStart w:id="6" w:name="CaseACocher8"/>
            <w:r>
              <w:rPr>
                <w:rFonts w:eastAsia="Times New Roman" w:cstheme="minorHAnsi"/>
                <w:color w:val="000000"/>
                <w:sz w:val="20"/>
                <w:szCs w:val="20"/>
                <w:lang w:eastAsia="fr-FR"/>
              </w:rPr>
              <w:fldChar w:fldCharType="begin">
                <w:ffData>
                  <w:name w:val="CaseACocher8"/>
                  <w:enabled/>
                  <w:calcOnExit w:val="0"/>
                  <w:checkBox>
                    <w:sizeAuto/>
                    <w:default w:val="1"/>
                  </w:checkBox>
                </w:ffData>
              </w:fldChar>
            </w:r>
            <w:r>
              <w:rPr>
                <w:rFonts w:eastAsia="Times New Roman" w:cstheme="minorHAnsi"/>
                <w:color w:val="000000"/>
                <w:sz w:val="20"/>
                <w:szCs w:val="20"/>
                <w:lang w:eastAsia="fr-FR"/>
              </w:rPr>
              <w:instrText xml:space="preserve"> FORMCHECKBOX </w:instrText>
            </w:r>
            <w:r>
              <w:rPr>
                <w:rFonts w:eastAsia="Times New Roman" w:cstheme="minorHAnsi"/>
                <w:color w:val="000000"/>
                <w:sz w:val="20"/>
                <w:szCs w:val="20"/>
                <w:lang w:eastAsia="fr-FR"/>
              </w:rPr>
            </w:r>
            <w:r>
              <w:rPr>
                <w:rFonts w:eastAsia="Times New Roman" w:cstheme="minorHAnsi"/>
                <w:color w:val="000000"/>
                <w:sz w:val="20"/>
                <w:szCs w:val="20"/>
                <w:lang w:eastAsia="fr-FR"/>
              </w:rPr>
              <w:fldChar w:fldCharType="separate"/>
            </w:r>
            <w:r>
              <w:rPr>
                <w:rFonts w:eastAsia="Times New Roman" w:cstheme="minorHAnsi"/>
                <w:color w:val="000000"/>
                <w:sz w:val="20"/>
                <w:szCs w:val="20"/>
                <w:lang w:eastAsia="fr-FR"/>
              </w:rPr>
              <w:fldChar w:fldCharType="end"/>
            </w:r>
            <w:bookmarkEnd w:id="6"/>
            <w:r>
              <w:rPr>
                <w:rFonts w:eastAsia="Times New Roman" w:cstheme="minorHAnsi"/>
                <w:color w:val="000000"/>
                <w:sz w:val="20"/>
                <w:szCs w:val="20"/>
                <w:lang w:eastAsia="fr-FR"/>
              </w:rPr>
              <w:t xml:space="preserve"> </w:t>
            </w:r>
            <w:r>
              <w:rPr>
                <w:rFonts w:eastAsia="Times New Roman" w:cstheme="minorHAnsi"/>
                <w:sz w:val="20"/>
                <w:szCs w:val="20"/>
                <w:lang w:eastAsia="fr-FR"/>
              </w:rPr>
              <w:t xml:space="preserve">Niveaux : </w:t>
            </w:r>
            <w:r>
              <w:rPr>
                <w:rFonts w:eastAsia="Times New Roman" w:cstheme="minorHAnsi"/>
                <w:color w:val="000000"/>
                <w:sz w:val="20"/>
                <w:szCs w:val="20"/>
                <w:lang w:eastAsia="fr-FR"/>
              </w:rPr>
              <w:t>Fondamental et maternel ordinaire</w:t>
            </w:r>
          </w:p>
          <w:p>
            <w:pPr>
              <w:spacing w:after="0" w:line="240" w:lineRule="auto"/>
              <w:ind w:left="180" w:hanging="180"/>
              <w:rPr>
                <w:rFonts w:eastAsia="Times New Roman" w:cstheme="minorHAnsi"/>
                <w:color w:val="FF0000"/>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Type de circulaire</w:t>
            </w:r>
          </w:p>
          <w:p>
            <w:pPr>
              <w:tabs>
                <w:tab w:val="left" w:pos="5580"/>
              </w:tabs>
              <w:spacing w:after="0" w:line="240" w:lineRule="auto"/>
              <w:ind w:left="180" w:hanging="180"/>
              <w:rPr>
                <w:rFonts w:eastAsia="Times New Roman" w:cstheme="minorHAnsi"/>
                <w:sz w:val="20"/>
                <w:szCs w:val="20"/>
                <w:lang w:eastAsia="fr-FR"/>
              </w:rPr>
            </w:pPr>
          </w:p>
          <w:bookmarkStart w:id="7" w:name="CaseACocher9"/>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9"/>
                  <w:enabled/>
                  <w:calcOnExit w:val="0"/>
                  <w:checkBox>
                    <w:sizeAuto/>
                    <w:default w:val="1"/>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7"/>
            <w:r>
              <w:rPr>
                <w:rFonts w:eastAsia="Times New Roman" w:cstheme="minorHAnsi"/>
                <w:sz w:val="20"/>
                <w:szCs w:val="20"/>
                <w:lang w:eastAsia="fr-FR"/>
              </w:rPr>
              <w:t xml:space="preserve"> Circulaire administrative</w:t>
            </w:r>
          </w:p>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10"/>
                  <w:enabled/>
                  <w:calcOnExit w:val="0"/>
                  <w:checkBox>
                    <w:sizeAuto/>
                    <w:default w:val="0"/>
                    <w:checked w:val="0"/>
                  </w:checkBox>
                </w:ffData>
              </w:fldChar>
            </w:r>
            <w:bookmarkStart w:id="8" w:name="CaseACocher10"/>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8"/>
            <w:r>
              <w:rPr>
                <w:rFonts w:eastAsia="Times New Roman" w:cstheme="minorHAnsi"/>
                <w:sz w:val="20"/>
                <w:szCs w:val="20"/>
                <w:lang w:eastAsia="fr-FR"/>
              </w:rPr>
              <w:t xml:space="preserve"> Circulaire informative</w:t>
            </w:r>
          </w:p>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tab/>
            </w: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Période de validité</w:t>
            </w:r>
          </w:p>
          <w:p>
            <w:pPr>
              <w:tabs>
                <w:tab w:val="left" w:pos="3420"/>
                <w:tab w:val="left" w:pos="6840"/>
              </w:tabs>
              <w:spacing w:after="0" w:line="240" w:lineRule="auto"/>
              <w:ind w:left="180" w:hanging="180"/>
              <w:rPr>
                <w:rFonts w:eastAsia="Times New Roman" w:cstheme="minorHAnsi"/>
                <w:color w:val="000000"/>
                <w:sz w:val="20"/>
                <w:szCs w:val="20"/>
                <w:lang w:eastAsia="fr-FR"/>
              </w:rPr>
            </w:pPr>
          </w:p>
          <w:p>
            <w:pPr>
              <w:tabs>
                <w:tab w:val="left" w:pos="3420"/>
                <w:tab w:val="left" w:pos="6840"/>
              </w:tabs>
              <w:spacing w:after="0" w:line="240" w:lineRule="auto"/>
              <w:ind w:left="180" w:hanging="180"/>
              <w:rPr>
                <w:rFonts w:eastAsia="Times New Roman" w:cstheme="minorHAnsi"/>
                <w:color w:val="000000"/>
                <w:sz w:val="20"/>
                <w:szCs w:val="20"/>
                <w:lang w:eastAsia="fr-FR"/>
              </w:rPr>
            </w:pPr>
            <w:r>
              <w:rPr>
                <w:rFonts w:eastAsia="Times New Roman" w:cstheme="minorHAnsi"/>
                <w:color w:val="000000"/>
                <w:sz w:val="20"/>
                <w:szCs w:val="20"/>
                <w:lang w:eastAsia="fr-FR"/>
              </w:rPr>
              <w:fldChar w:fldCharType="begin">
                <w:ffData>
                  <w:name w:val="CaseACocher12"/>
                  <w:enabled/>
                  <w:calcOnExit w:val="0"/>
                  <w:checkBox>
                    <w:sizeAuto/>
                    <w:default w:val="1"/>
                  </w:checkBox>
                </w:ffData>
              </w:fldChar>
            </w:r>
            <w:bookmarkStart w:id="9" w:name="CaseACocher12"/>
            <w:r>
              <w:rPr>
                <w:rFonts w:eastAsia="Times New Roman" w:cstheme="minorHAnsi"/>
                <w:color w:val="000000"/>
                <w:sz w:val="20"/>
                <w:szCs w:val="20"/>
                <w:lang w:eastAsia="fr-FR"/>
              </w:rPr>
              <w:instrText xml:space="preserve"> FORMCHECKBOX </w:instrText>
            </w:r>
            <w:r>
              <w:rPr>
                <w:rFonts w:eastAsia="Times New Roman" w:cstheme="minorHAnsi"/>
                <w:color w:val="000000"/>
                <w:sz w:val="20"/>
                <w:szCs w:val="20"/>
                <w:lang w:eastAsia="fr-FR"/>
              </w:rPr>
            </w:r>
            <w:r>
              <w:rPr>
                <w:rFonts w:eastAsia="Times New Roman" w:cstheme="minorHAnsi"/>
                <w:color w:val="000000"/>
                <w:sz w:val="20"/>
                <w:szCs w:val="20"/>
                <w:lang w:eastAsia="fr-FR"/>
              </w:rPr>
              <w:fldChar w:fldCharType="separate"/>
            </w:r>
            <w:r>
              <w:rPr>
                <w:rFonts w:eastAsia="Times New Roman" w:cstheme="minorHAnsi"/>
                <w:color w:val="000000"/>
                <w:sz w:val="20"/>
                <w:szCs w:val="20"/>
                <w:lang w:eastAsia="fr-FR"/>
              </w:rPr>
              <w:fldChar w:fldCharType="end"/>
            </w:r>
            <w:bookmarkEnd w:id="9"/>
            <w:r>
              <w:rPr>
                <w:rFonts w:eastAsia="Times New Roman" w:cstheme="minorHAnsi"/>
                <w:color w:val="000000"/>
                <w:sz w:val="20"/>
                <w:szCs w:val="20"/>
                <w:lang w:eastAsia="fr-FR"/>
              </w:rPr>
              <w:t xml:space="preserve"> Pour l’année scolaire 2018-2019</w:t>
            </w:r>
          </w:p>
          <w:p>
            <w:pPr>
              <w:spacing w:after="0" w:line="240" w:lineRule="auto"/>
              <w:ind w:left="180" w:hanging="180"/>
              <w:rPr>
                <w:rFonts w:eastAsia="Times New Roman" w:cstheme="minorHAnsi"/>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Documents à renvoyer</w:t>
            </w:r>
          </w:p>
          <w:p>
            <w:pPr>
              <w:tabs>
                <w:tab w:val="left" w:pos="3420"/>
                <w:tab w:val="left" w:pos="6840"/>
              </w:tabs>
              <w:spacing w:after="0" w:line="240" w:lineRule="auto"/>
              <w:rPr>
                <w:rFonts w:eastAsia="Times New Roman" w:cstheme="minorHAnsi"/>
                <w:sz w:val="20"/>
                <w:szCs w:val="20"/>
                <w:lang w:eastAsia="fr-FR"/>
              </w:rPr>
            </w:pPr>
          </w:p>
          <w:bookmarkStart w:id="10" w:name="CaseACocher13"/>
          <w:p>
            <w:pPr>
              <w:tabs>
                <w:tab w:val="left" w:pos="3420"/>
                <w:tab w:val="left" w:pos="684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13"/>
                  <w:enabled/>
                  <w:calcOnExit w:val="0"/>
                  <w:checkBox>
                    <w:sizeAuto/>
                    <w:default w:val="0"/>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0"/>
            <w:r>
              <w:rPr>
                <w:rFonts w:eastAsia="Times New Roman" w:cstheme="minorHAnsi"/>
                <w:sz w:val="20"/>
                <w:szCs w:val="20"/>
                <w:lang w:eastAsia="fr-FR"/>
              </w:rPr>
              <w:t xml:space="preserve"> Oui </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14"/>
                  <w:enabled/>
                  <w:calcOnExit w:val="0"/>
                  <w:checkBox>
                    <w:sizeAuto/>
                    <w:default w:val="0"/>
                  </w:checkBox>
                </w:ffData>
              </w:fldChar>
            </w:r>
            <w:bookmarkStart w:id="11" w:name="CaseACocher14"/>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1"/>
            <w:r>
              <w:rPr>
                <w:rFonts w:eastAsia="Times New Roman" w:cstheme="minorHAnsi"/>
                <w:sz w:val="20"/>
                <w:szCs w:val="20"/>
                <w:lang w:eastAsia="fr-FR"/>
              </w:rPr>
              <w:t xml:space="preserve">Date limite : </w:t>
            </w:r>
          </w:p>
          <w:bookmarkStart w:id="12" w:name="CaseACocher15"/>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15"/>
                  <w:enabled/>
                  <w:calcOnExit w:val="0"/>
                  <w:checkBox>
                    <w:sizeAuto/>
                    <w:default w:val="1"/>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2"/>
            <w:r>
              <w:rPr>
                <w:rFonts w:eastAsia="Times New Roman" w:cstheme="minorHAnsi"/>
                <w:sz w:val="20"/>
                <w:szCs w:val="20"/>
                <w:lang w:eastAsia="fr-FR"/>
              </w:rPr>
              <w:t xml:space="preserve"> Voir dates figurant dans la circulaire </w:t>
            </w:r>
          </w:p>
          <w:p>
            <w:pPr>
              <w:tabs>
                <w:tab w:val="left" w:pos="3420"/>
                <w:tab w:val="left" w:pos="6840"/>
              </w:tabs>
              <w:spacing w:after="0" w:line="240" w:lineRule="auto"/>
              <w:rPr>
                <w:rFonts w:eastAsia="Times New Roman" w:cstheme="minorHAnsi"/>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Mot-clé :</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2"/>
              <w:gridCol w:w="368"/>
            </w:tblGrid>
            <w:tr>
              <w:trPr>
                <w:trHeight w:val="287"/>
              </w:trPr>
              <w:tc>
                <w:tcPr>
                  <w:tcW w:w="6552" w:type="dxa"/>
                  <w:tcBorders>
                    <w:top w:val="nil"/>
                    <w:left w:val="nil"/>
                    <w:bottom w:val="nil"/>
                    <w:right w:val="nil"/>
                  </w:tcBorders>
                </w:tcPr>
                <w:p>
                  <w:pPr>
                    <w:autoSpaceDE w:val="0"/>
                    <w:autoSpaceDN w:val="0"/>
                    <w:adjustRightInd w:val="0"/>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t>Maîtres de psychomotricité</w:t>
                  </w:r>
                </w:p>
                <w:p>
                  <w:pPr>
                    <w:autoSpaceDE w:val="0"/>
                    <w:autoSpaceDN w:val="0"/>
                    <w:adjustRightInd w:val="0"/>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t>ACS/APE</w:t>
                  </w:r>
                </w:p>
              </w:tc>
              <w:tc>
                <w:tcPr>
                  <w:tcW w:w="368" w:type="dxa"/>
                  <w:tcBorders>
                    <w:top w:val="nil"/>
                    <w:left w:val="nil"/>
                    <w:bottom w:val="nil"/>
                    <w:right w:val="nil"/>
                  </w:tcBorders>
                </w:tcPr>
                <w:p>
                  <w:pPr>
                    <w:tabs>
                      <w:tab w:val="left" w:pos="3420"/>
                      <w:tab w:val="left" w:pos="6840"/>
                    </w:tabs>
                    <w:spacing w:after="0" w:line="240" w:lineRule="auto"/>
                    <w:ind w:left="180" w:hanging="180"/>
                    <w:rPr>
                      <w:rFonts w:eastAsia="Times New Roman" w:cstheme="minorHAnsi"/>
                      <w:sz w:val="18"/>
                      <w:szCs w:val="18"/>
                      <w:lang w:eastAsia="fr-FR"/>
                    </w:rPr>
                  </w:pPr>
                </w:p>
              </w:tc>
            </w:tr>
          </w:tbl>
          <w:p>
            <w:pPr>
              <w:shd w:val="clear" w:color="auto" w:fill="D9D9D9"/>
              <w:spacing w:after="0" w:line="240" w:lineRule="auto"/>
              <w:ind w:left="284"/>
              <w:rPr>
                <w:rFonts w:eastAsia="Times New Roman" w:cstheme="minorHAnsi"/>
                <w:b/>
                <w:sz w:val="20"/>
                <w:szCs w:val="20"/>
                <w:lang w:eastAsia="fr-FR"/>
              </w:rPr>
            </w:pPr>
          </w:p>
        </w:tc>
        <w:tc>
          <w:tcPr>
            <w:tcW w:w="5363" w:type="dxa"/>
            <w:vMerge w:val="restart"/>
            <w:tcBorders>
              <w:right w:val="single" w:sz="4" w:space="0" w:color="auto"/>
            </w:tcBorders>
          </w:tcPr>
          <w:p>
            <w:pPr>
              <w:shd w:val="clear" w:color="auto" w:fill="D9D9D9"/>
              <w:spacing w:after="0" w:line="240" w:lineRule="auto"/>
              <w:ind w:left="284"/>
              <w:rPr>
                <w:rFonts w:eastAsia="Times New Roman" w:cstheme="minorHAnsi"/>
                <w:b/>
                <w:sz w:val="20"/>
                <w:szCs w:val="20"/>
                <w:lang w:eastAsia="fr-FR"/>
              </w:rPr>
            </w:pPr>
          </w:p>
          <w:p>
            <w:pPr>
              <w:shd w:val="clear" w:color="auto" w:fill="D9D9D9"/>
              <w:spacing w:after="0" w:line="240" w:lineRule="auto"/>
              <w:ind w:left="284"/>
              <w:rPr>
                <w:rFonts w:eastAsia="Times New Roman" w:cstheme="minorHAnsi"/>
                <w:sz w:val="20"/>
                <w:szCs w:val="20"/>
                <w:lang w:eastAsia="fr-FR"/>
              </w:rPr>
            </w:pPr>
            <w:r>
              <w:rPr>
                <w:rFonts w:eastAsia="Times New Roman" w:cstheme="minorHAnsi"/>
                <w:b/>
                <w:sz w:val="20"/>
                <w:szCs w:val="20"/>
                <w:lang w:eastAsia="fr-FR"/>
              </w:rPr>
              <w:t>Destinataires de la circulaire</w:t>
            </w:r>
          </w:p>
          <w:p>
            <w:pPr>
              <w:autoSpaceDE w:val="0"/>
              <w:autoSpaceDN w:val="0"/>
              <w:adjustRightInd w:val="0"/>
              <w:spacing w:after="0" w:line="240" w:lineRule="auto"/>
              <w:ind w:left="252"/>
              <w:rPr>
                <w:rFonts w:eastAsia="Times New Roman" w:cstheme="minorHAnsi"/>
                <w:color w:val="FF0000"/>
                <w:sz w:val="20"/>
                <w:szCs w:val="20"/>
                <w:lang w:eastAsia="fr-FR"/>
              </w:rPr>
            </w:pPr>
          </w:p>
          <w:p>
            <w:pPr>
              <w:spacing w:after="0" w:line="240" w:lineRule="auto"/>
              <w:ind w:left="792"/>
              <w:rPr>
                <w:rFonts w:eastAsia="Times New Roman" w:cstheme="minorHAnsi"/>
                <w:color w:val="FF0000"/>
                <w:sz w:val="20"/>
                <w:szCs w:val="20"/>
                <w:lang w:eastAsia="fr-FR"/>
              </w:rPr>
            </w:pPr>
          </w:p>
          <w:p>
            <w:pPr>
              <w:spacing w:after="0" w:line="240" w:lineRule="auto"/>
              <w:jc w:val="both"/>
              <w:rPr>
                <w:rFonts w:eastAsia="Times New Roman" w:cstheme="minorHAnsi"/>
                <w:sz w:val="20"/>
                <w:szCs w:val="20"/>
                <w:lang w:eastAsia="fr-FR"/>
              </w:rPr>
            </w:pPr>
            <w:r>
              <w:rPr>
                <w:rFonts w:eastAsia="Times New Roman" w:cstheme="minorHAnsi"/>
                <w:lang w:eastAsia="fr-FR"/>
              </w:rPr>
              <w:t xml:space="preserve">- </w:t>
            </w:r>
            <w:r>
              <w:rPr>
                <w:rFonts w:eastAsia="Times New Roman" w:cstheme="minorHAnsi"/>
                <w:sz w:val="20"/>
                <w:szCs w:val="20"/>
                <w:lang w:eastAsia="fr-FR"/>
              </w:rPr>
              <w:t>Aux Pouvoirs organisateurs et aux Directions des écoles maternelles et fondamentales officielles subventionnées par la Fédération Wallonie-Bruxelles</w:t>
            </w:r>
          </w:p>
          <w:p>
            <w:pPr>
              <w:numPr>
                <w:ilvl w:val="12"/>
                <w:numId w:val="0"/>
              </w:numPr>
              <w:spacing w:after="0" w:line="240" w:lineRule="auto"/>
              <w:rPr>
                <w:rFonts w:eastAsia="Times New Roman" w:cstheme="minorHAnsi"/>
                <w:sz w:val="20"/>
                <w:szCs w:val="20"/>
                <w:u w:val="single"/>
                <w:lang w:eastAsia="fr-FR"/>
              </w:rPr>
            </w:pPr>
          </w:p>
          <w:p>
            <w:pPr>
              <w:numPr>
                <w:ilvl w:val="12"/>
                <w:numId w:val="0"/>
              </w:numPr>
              <w:spacing w:after="0" w:line="240" w:lineRule="auto"/>
              <w:rPr>
                <w:rFonts w:eastAsia="Times New Roman" w:cstheme="minorHAnsi"/>
                <w:sz w:val="20"/>
                <w:szCs w:val="20"/>
                <w:u w:val="single"/>
                <w:lang w:eastAsia="fr-FR"/>
              </w:rPr>
            </w:pPr>
            <w:r>
              <w:rPr>
                <w:rFonts w:eastAsia="Times New Roman" w:cstheme="minorHAnsi"/>
                <w:sz w:val="20"/>
                <w:szCs w:val="20"/>
                <w:u w:val="single"/>
                <w:lang w:eastAsia="fr-FR"/>
              </w:rPr>
              <w:t>Pour information</w:t>
            </w:r>
            <w:r>
              <w:rPr>
                <w:rFonts w:eastAsia="Times New Roman" w:cstheme="minorHAnsi"/>
                <w:sz w:val="20"/>
                <w:szCs w:val="20"/>
                <w:lang w:eastAsia="fr-FR"/>
              </w:rPr>
              <w:t> :</w:t>
            </w:r>
            <w:r>
              <w:rPr>
                <w:rFonts w:eastAsia="Times New Roman" w:cstheme="minorHAnsi"/>
                <w:sz w:val="20"/>
                <w:szCs w:val="20"/>
                <w:u w:val="single"/>
                <w:lang w:eastAsia="fr-FR"/>
              </w:rPr>
              <w:t xml:space="preserve">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 Aux membres de l’Inspection de </w:t>
            </w:r>
            <w:smartTag w:uri="urn:schemas-microsoft-com:office:smarttags" w:element="PersonName">
              <w:smartTagPr>
                <w:attr w:name="ProductID" w:val="la Communaut￩"/>
              </w:smartTagPr>
              <w:r>
                <w:rPr>
                  <w:rFonts w:eastAsia="Times New Roman" w:cstheme="minorHAnsi"/>
                  <w:sz w:val="20"/>
                  <w:szCs w:val="20"/>
                  <w:lang w:eastAsia="fr-FR"/>
                </w:rPr>
                <w:t>la Communauté</w:t>
              </w:r>
            </w:smartTag>
            <w:r>
              <w:rPr>
                <w:rFonts w:eastAsia="Times New Roman" w:cstheme="minorHAnsi"/>
                <w:sz w:val="20"/>
                <w:szCs w:val="20"/>
                <w:lang w:eastAsia="fr-FR"/>
              </w:rPr>
              <w:t xml:space="preserve"> pour l’enseignement fondamental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Aux organisations syndicales représentant le personnel enseignant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 Aux services de vérification ;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Aux organes de coordination et de représentation.</w:t>
            </w:r>
          </w:p>
          <w:p>
            <w:pPr>
              <w:spacing w:after="0" w:line="240" w:lineRule="auto"/>
              <w:ind w:left="4260"/>
              <w:jc w:val="both"/>
              <w:rPr>
                <w:rFonts w:eastAsia="Times New Roman" w:cstheme="minorHAnsi"/>
                <w:lang w:eastAsia="fr-FR"/>
              </w:rPr>
            </w:pPr>
          </w:p>
          <w:p>
            <w:pPr>
              <w:spacing w:after="0" w:line="240" w:lineRule="auto"/>
              <w:ind w:left="4260"/>
              <w:jc w:val="both"/>
              <w:rPr>
                <w:rFonts w:eastAsia="Times New Roman" w:cstheme="minorHAnsi"/>
                <w:lang w:eastAsia="fr-FR"/>
              </w:rPr>
            </w:pPr>
          </w:p>
          <w:p>
            <w:pPr>
              <w:spacing w:after="0" w:line="240" w:lineRule="auto"/>
              <w:jc w:val="both"/>
              <w:rPr>
                <w:rFonts w:eastAsia="Times New Roman" w:cstheme="minorHAnsi"/>
                <w:color w:val="000000"/>
                <w:sz w:val="20"/>
                <w:szCs w:val="20"/>
                <w:lang w:eastAsia="fr-FR"/>
              </w:rPr>
            </w:pPr>
            <w:r>
              <w:rPr>
                <w:rFonts w:eastAsia="Times New Roman" w:cstheme="minorHAnsi"/>
                <w:color w:val="000000"/>
                <w:sz w:val="20"/>
                <w:szCs w:val="20"/>
                <w:lang w:eastAsia="fr-FR"/>
              </w:rPr>
              <w:t xml:space="preserve"> </w:t>
            </w:r>
          </w:p>
          <w:p>
            <w:pPr>
              <w:spacing w:after="0" w:line="240" w:lineRule="auto"/>
              <w:rPr>
                <w:rFonts w:eastAsia="Times New Roman" w:cstheme="minorHAnsi"/>
                <w:color w:val="FF0000"/>
                <w:sz w:val="20"/>
                <w:szCs w:val="20"/>
                <w:lang w:eastAsia="fr-FR"/>
              </w:rPr>
            </w:pPr>
          </w:p>
        </w:tc>
        <w:tc>
          <w:tcPr>
            <w:tcW w:w="479" w:type="dxa"/>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r>
        <w:trPr>
          <w:trHeight w:val="6336"/>
        </w:trPr>
        <w:tc>
          <w:tcPr>
            <w:tcW w:w="3369" w:type="dxa"/>
            <w:vMerge/>
            <w:tcBorders>
              <w:bottom w:val="single" w:sz="4" w:space="0" w:color="auto"/>
            </w:tcBorders>
          </w:tcPr>
          <w:p>
            <w:pPr>
              <w:shd w:val="clear" w:color="auto" w:fill="D9D9D9"/>
              <w:spacing w:after="0" w:line="240" w:lineRule="auto"/>
              <w:ind w:left="284"/>
              <w:rPr>
                <w:rFonts w:eastAsia="Times New Roman" w:cstheme="minorHAnsi"/>
                <w:b/>
                <w:sz w:val="20"/>
                <w:szCs w:val="20"/>
                <w:lang w:eastAsia="fr-FR"/>
              </w:rPr>
            </w:pPr>
          </w:p>
        </w:tc>
        <w:tc>
          <w:tcPr>
            <w:tcW w:w="5363" w:type="dxa"/>
            <w:vMerge/>
            <w:tcBorders>
              <w:bottom w:val="single" w:sz="4" w:space="0" w:color="auto"/>
              <w:right w:val="single" w:sz="4" w:space="0" w:color="auto"/>
            </w:tcBorders>
          </w:tcPr>
          <w:p>
            <w:pPr>
              <w:shd w:val="clear" w:color="auto" w:fill="D9D9D9"/>
              <w:spacing w:after="0" w:line="240" w:lineRule="auto"/>
              <w:ind w:left="284"/>
              <w:rPr>
                <w:rFonts w:eastAsia="Times New Roman" w:cstheme="minorHAnsi"/>
                <w:b/>
                <w:sz w:val="20"/>
                <w:szCs w:val="20"/>
                <w:lang w:eastAsia="fr-FR"/>
              </w:rPr>
            </w:pPr>
          </w:p>
        </w:tc>
        <w:tc>
          <w:tcPr>
            <w:tcW w:w="479"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r>
              <w:rPr>
                <w:rFonts w:eastAsia="Times New Roman" w:cstheme="minorHAnsi"/>
                <w:noProof/>
                <w:sz w:val="18"/>
                <w:szCs w:val="18"/>
                <w:lang w:eastAsia="fr-BE"/>
              </w:rPr>
              <w:drawing>
                <wp:inline distT="0" distB="0" distL="0" distR="0">
                  <wp:extent cx="304800" cy="5257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5257800"/>
                          </a:xfrm>
                          <a:prstGeom prst="rect">
                            <a:avLst/>
                          </a:prstGeom>
                          <a:noFill/>
                          <a:ln>
                            <a:noFill/>
                          </a:ln>
                        </pic:spPr>
                      </pic:pic>
                    </a:graphicData>
                  </a:graphic>
                </wp:inline>
              </w:drawing>
            </w:r>
          </w:p>
        </w:tc>
      </w:tr>
      <w:tr>
        <w:trPr>
          <w:trHeight w:val="128"/>
        </w:trPr>
        <w:tc>
          <w:tcPr>
            <w:tcW w:w="8732" w:type="dxa"/>
            <w:gridSpan w:val="2"/>
            <w:tcBorders>
              <w:top w:val="single" w:sz="4" w:space="0" w:color="auto"/>
              <w:left w:val="nil"/>
              <w:bottom w:val="single" w:sz="4" w:space="0" w:color="auto"/>
              <w:right w:val="nil"/>
            </w:tcBorders>
            <w:shd w:val="clear" w:color="auto" w:fill="auto"/>
          </w:tcPr>
          <w:p>
            <w:pPr>
              <w:spacing w:after="0" w:line="240" w:lineRule="auto"/>
              <w:ind w:left="284"/>
              <w:rPr>
                <w:rFonts w:eastAsia="Times New Roman" w:cstheme="minorHAnsi"/>
                <w:b/>
                <w:sz w:val="20"/>
                <w:szCs w:val="20"/>
                <w:lang w:eastAsia="fr-FR"/>
              </w:rPr>
            </w:pPr>
          </w:p>
        </w:tc>
        <w:tc>
          <w:tcPr>
            <w:tcW w:w="479" w:type="dxa"/>
            <w:vMerge/>
            <w:tcBorders>
              <w:top w:val="nil"/>
              <w:left w:val="nil"/>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r>
        <w:trPr>
          <w:trHeight w:val="1428"/>
        </w:trPr>
        <w:tc>
          <w:tcPr>
            <w:tcW w:w="8732" w:type="dxa"/>
            <w:gridSpan w:val="2"/>
            <w:tcBorders>
              <w:top w:val="single" w:sz="4" w:space="0" w:color="auto"/>
              <w:bottom w:val="single" w:sz="4" w:space="0" w:color="auto"/>
              <w:right w:val="single" w:sz="4" w:space="0" w:color="auto"/>
            </w:tcBorders>
            <w:shd w:val="clear" w:color="auto" w:fill="auto"/>
          </w:tcPr>
          <w:p>
            <w:pPr>
              <w:shd w:val="clear" w:color="auto" w:fill="D9D9D9"/>
              <w:tabs>
                <w:tab w:val="left" w:pos="252"/>
                <w:tab w:val="left" w:pos="1980"/>
                <w:tab w:val="left" w:pos="4500"/>
                <w:tab w:val="left" w:leader="dot" w:pos="8460"/>
              </w:tabs>
              <w:spacing w:after="0" w:line="240" w:lineRule="auto"/>
              <w:ind w:right="72"/>
              <w:rPr>
                <w:rFonts w:eastAsia="Times New Roman" w:cstheme="minorHAnsi"/>
                <w:sz w:val="20"/>
                <w:szCs w:val="20"/>
                <w:lang w:eastAsia="fr-FR"/>
              </w:rPr>
            </w:pPr>
            <w:r>
              <w:rPr>
                <w:rFonts w:eastAsia="Times New Roman" w:cstheme="minorHAnsi"/>
                <w:sz w:val="20"/>
                <w:szCs w:val="20"/>
                <w:lang w:eastAsia="fr-FR"/>
              </w:rPr>
              <w:br w:type="page"/>
            </w:r>
            <w:r>
              <w:rPr>
                <w:rFonts w:eastAsia="Times New Roman" w:cstheme="minorHAnsi"/>
                <w:b/>
                <w:sz w:val="20"/>
                <w:szCs w:val="20"/>
                <w:lang w:eastAsia="fr-FR"/>
              </w:rPr>
              <w:t>Signataire</w:t>
            </w:r>
          </w:p>
          <w:tbl>
            <w:tblPr>
              <w:tblW w:w="0" w:type="auto"/>
              <w:tblInd w:w="567" w:type="dxa"/>
              <w:tblLayout w:type="fixed"/>
              <w:tblLook w:val="01E0" w:firstRow="1" w:lastRow="1" w:firstColumn="1" w:lastColumn="1" w:noHBand="0" w:noVBand="0"/>
            </w:tblPr>
            <w:tblGrid>
              <w:gridCol w:w="1842"/>
              <w:gridCol w:w="6058"/>
            </w:tblGrid>
            <w:tr>
              <w:trPr>
                <w:trHeight w:val="203"/>
              </w:trPr>
              <w:tc>
                <w:tcPr>
                  <w:tcW w:w="1842" w:type="dxa"/>
                </w:tcPr>
                <w:p>
                  <w:pPr>
                    <w:tabs>
                      <w:tab w:val="left" w:pos="4500"/>
                      <w:tab w:val="left" w:leader="dot" w:pos="8460"/>
                    </w:tabs>
                    <w:spacing w:after="0" w:line="240" w:lineRule="auto"/>
                    <w:rPr>
                      <w:rFonts w:eastAsia="Times New Roman" w:cstheme="minorHAnsi"/>
                      <w:sz w:val="20"/>
                      <w:szCs w:val="20"/>
                      <w:lang w:eastAsia="fr-FR"/>
                    </w:rPr>
                  </w:pPr>
                </w:p>
              </w:tc>
              <w:tc>
                <w:tcPr>
                  <w:tcW w:w="6058"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Marie-Martine SCHYNS</w:t>
                  </w:r>
                </w:p>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Ministre de l’éducation</w:t>
                  </w:r>
                </w:p>
              </w:tc>
            </w:tr>
          </w:tbl>
          <w:p>
            <w:pPr>
              <w:shd w:val="clear" w:color="auto" w:fill="D9D9D9"/>
              <w:spacing w:after="0" w:line="240" w:lineRule="auto"/>
              <w:ind w:right="72"/>
              <w:rPr>
                <w:rFonts w:eastAsia="Times New Roman" w:cstheme="minorHAnsi"/>
                <w:sz w:val="20"/>
                <w:szCs w:val="20"/>
                <w:lang w:eastAsia="fr-FR"/>
              </w:rPr>
            </w:pPr>
            <w:r>
              <w:rPr>
                <w:rFonts w:eastAsia="Times New Roman" w:cstheme="minorHAnsi"/>
                <w:b/>
                <w:sz w:val="20"/>
                <w:szCs w:val="20"/>
                <w:lang w:eastAsia="fr-FR"/>
              </w:rPr>
              <w:t>Personnes de contact</w:t>
            </w:r>
          </w:p>
          <w:p>
            <w:pPr>
              <w:tabs>
                <w:tab w:val="left" w:pos="4500"/>
                <w:tab w:val="left" w:leader="dot" w:pos="8460"/>
              </w:tabs>
              <w:spacing w:after="0" w:line="240" w:lineRule="auto"/>
              <w:ind w:left="540"/>
              <w:rPr>
                <w:rFonts w:eastAsia="Times New Roman" w:cstheme="minorHAnsi"/>
                <w:color w:val="000000"/>
                <w:sz w:val="20"/>
                <w:szCs w:val="20"/>
                <w:lang w:eastAsia="fr-FR"/>
              </w:rPr>
            </w:pPr>
            <w:r>
              <w:rPr>
                <w:rFonts w:eastAsia="Times New Roman" w:cstheme="minorHAnsi"/>
                <w:sz w:val="20"/>
                <w:szCs w:val="20"/>
                <w:lang w:eastAsia="fr-FR"/>
              </w:rPr>
              <w:t>Service  o</w:t>
            </w:r>
            <w:r>
              <w:rPr>
                <w:rFonts w:eastAsia="Times New Roman" w:cstheme="minorHAnsi"/>
                <w:color w:val="000000"/>
                <w:sz w:val="20"/>
                <w:szCs w:val="20"/>
                <w:lang w:eastAsia="fr-FR"/>
              </w:rPr>
              <w:t>u Association : AGE – DGPES – SGSCC</w:t>
            </w:r>
          </w:p>
          <w:tbl>
            <w:tblPr>
              <w:tblW w:w="7962"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95"/>
              <w:gridCol w:w="1780"/>
              <w:gridCol w:w="3387"/>
            </w:tblGrid>
            <w:tr>
              <w:trPr>
                <w:trHeight w:val="47"/>
              </w:trPr>
              <w:tc>
                <w:tcPr>
                  <w:tcW w:w="2795"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Nom et prénom </w:t>
                  </w:r>
                </w:p>
              </w:tc>
              <w:tc>
                <w:tcPr>
                  <w:tcW w:w="1780"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Téléphone</w:t>
                  </w:r>
                </w:p>
              </w:tc>
              <w:tc>
                <w:tcPr>
                  <w:tcW w:w="3387"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Email</w:t>
                  </w:r>
                </w:p>
              </w:tc>
            </w:tr>
            <w:tr>
              <w:trPr>
                <w:trHeight w:val="681"/>
              </w:trPr>
              <w:tc>
                <w:tcPr>
                  <w:tcW w:w="2795"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Galhia EN-NSEIRI</w:t>
                  </w:r>
                </w:p>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Cellule psychomotricité (à partir du 22/08/2018)</w:t>
                  </w:r>
                </w:p>
              </w:tc>
              <w:tc>
                <w:tcPr>
                  <w:tcW w:w="1780"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02/413.20.80</w:t>
                  </w:r>
                </w:p>
                <w:p>
                  <w:pPr>
                    <w:tabs>
                      <w:tab w:val="left" w:pos="4500"/>
                      <w:tab w:val="left" w:leader="dot" w:pos="8460"/>
                    </w:tabs>
                    <w:spacing w:after="0" w:line="240" w:lineRule="auto"/>
                    <w:rPr>
                      <w:rFonts w:eastAsia="Times New Roman" w:cstheme="minorHAnsi"/>
                      <w:color w:val="000000"/>
                      <w:sz w:val="20"/>
                      <w:szCs w:val="20"/>
                      <w:lang w:eastAsia="fr-FR"/>
                    </w:rPr>
                  </w:pPr>
                </w:p>
              </w:tc>
              <w:tc>
                <w:tcPr>
                  <w:tcW w:w="3387" w:type="dxa"/>
                </w:tcPr>
                <w:p>
                  <w:pPr>
                    <w:tabs>
                      <w:tab w:val="left" w:pos="4500"/>
                      <w:tab w:val="left" w:leader="dot" w:pos="8460"/>
                    </w:tabs>
                    <w:spacing w:after="0" w:line="240" w:lineRule="auto"/>
                    <w:rPr>
                      <w:rFonts w:eastAsia="Times New Roman" w:cstheme="minorHAnsi"/>
                      <w:sz w:val="20"/>
                      <w:szCs w:val="20"/>
                      <w:lang w:eastAsia="fr-FR"/>
                    </w:rPr>
                  </w:pPr>
                  <w:hyperlink r:id="rId10" w:history="1">
                    <w:r>
                      <w:rPr>
                        <w:rFonts w:eastAsia="Times New Roman" w:cstheme="minorHAnsi"/>
                        <w:color w:val="0000FF"/>
                        <w:sz w:val="20"/>
                        <w:szCs w:val="20"/>
                        <w:u w:val="single"/>
                        <w:lang w:eastAsia="fr-FR"/>
                      </w:rPr>
                      <w:t>galhia.ennseiri@cfwb.be</w:t>
                    </w:r>
                  </w:hyperlink>
                </w:p>
                <w:p>
                  <w:pPr>
                    <w:tabs>
                      <w:tab w:val="left" w:pos="4500"/>
                      <w:tab w:val="left" w:leader="dot" w:pos="8460"/>
                    </w:tabs>
                    <w:spacing w:after="0" w:line="240" w:lineRule="auto"/>
                    <w:rPr>
                      <w:rFonts w:eastAsia="Times New Roman" w:cstheme="minorHAnsi"/>
                      <w:color w:val="0000FF"/>
                      <w:sz w:val="20"/>
                      <w:szCs w:val="20"/>
                      <w:u w:val="single"/>
                      <w:lang w:eastAsia="fr-FR"/>
                    </w:rPr>
                  </w:pPr>
                  <w:r>
                    <w:rPr>
                      <w:rFonts w:eastAsia="Times New Roman" w:cstheme="minorHAnsi"/>
                      <w:color w:val="0000FF"/>
                      <w:sz w:val="20"/>
                      <w:szCs w:val="20"/>
                      <w:u w:val="single"/>
                      <w:lang w:eastAsia="fr-FR"/>
                    </w:rPr>
                    <w:t>PUPSY@gov.cfwb.be</w:t>
                  </w:r>
                </w:p>
              </w:tc>
            </w:tr>
          </w:tbl>
          <w:p>
            <w:pPr>
              <w:tabs>
                <w:tab w:val="left" w:pos="4500"/>
                <w:tab w:val="left" w:leader="dot" w:pos="8460"/>
              </w:tabs>
              <w:spacing w:after="0" w:line="240" w:lineRule="auto"/>
              <w:ind w:left="540"/>
              <w:rPr>
                <w:rFonts w:eastAsia="Times New Roman" w:cstheme="minorHAnsi"/>
                <w:sz w:val="20"/>
                <w:szCs w:val="20"/>
                <w:lang w:eastAsia="fr-FR"/>
              </w:rPr>
            </w:pPr>
          </w:p>
        </w:tc>
        <w:tc>
          <w:tcPr>
            <w:tcW w:w="479" w:type="dxa"/>
            <w:vMerge/>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bl>
    <w:p>
      <w:pPr>
        <w:pStyle w:val="TM1"/>
        <w:rPr>
          <w:rFonts w:eastAsiaTheme="minorEastAsia" w:cstheme="minorBidi"/>
          <w:b w:val="0"/>
          <w:bCs w:val="0"/>
          <w:caps w:val="0"/>
          <w:noProof/>
          <w:sz w:val="22"/>
          <w:szCs w:val="22"/>
          <w:lang w:eastAsia="fr-BE"/>
        </w:rPr>
      </w:pPr>
      <w:r>
        <w:lastRenderedPageBreak/>
        <w:fldChar w:fldCharType="begin"/>
      </w:r>
      <w:r>
        <w:instrText xml:space="preserve"> TOC \o "1-4" \h \z \u </w:instrText>
      </w:r>
      <w:r>
        <w:fldChar w:fldCharType="separate"/>
      </w:r>
      <w:hyperlink w:anchor="_Toc515540730" w:history="1">
        <w:r>
          <w:rPr>
            <w:rStyle w:val="Lienhypertexte"/>
            <w:noProof/>
          </w:rPr>
          <w:t>INTRODUCTION</w:t>
        </w:r>
        <w:r>
          <w:rPr>
            <w:noProof/>
            <w:webHidden/>
          </w:rPr>
          <w:tab/>
        </w:r>
        <w:r>
          <w:rPr>
            <w:noProof/>
            <w:webHidden/>
          </w:rPr>
          <w:fldChar w:fldCharType="begin"/>
        </w:r>
        <w:r>
          <w:rPr>
            <w:noProof/>
            <w:webHidden/>
          </w:rPr>
          <w:instrText xml:space="preserve"> PAGEREF _Toc515540730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1" w:history="1">
        <w:r>
          <w:rPr>
            <w:rStyle w:val="Lienhypertexte"/>
            <w:noProof/>
          </w:rPr>
          <w:t>1.</w:t>
        </w:r>
        <w:r>
          <w:rPr>
            <w:rFonts w:eastAsiaTheme="minorEastAsia" w:cstheme="minorBidi"/>
            <w:smallCaps w:val="0"/>
            <w:noProof/>
            <w:sz w:val="22"/>
            <w:szCs w:val="22"/>
            <w:lang w:eastAsia="fr-BE"/>
          </w:rPr>
          <w:tab/>
        </w:r>
        <w:r>
          <w:rPr>
            <w:rStyle w:val="Lienhypertexte"/>
            <w:noProof/>
          </w:rPr>
          <w:t>Suppression des emplois ACS/APE dans la fonction de maître de psychomotricité</w:t>
        </w:r>
        <w:r>
          <w:rPr>
            <w:noProof/>
            <w:webHidden/>
          </w:rPr>
          <w:tab/>
        </w:r>
        <w:r>
          <w:rPr>
            <w:noProof/>
            <w:webHidden/>
          </w:rPr>
          <w:fldChar w:fldCharType="begin"/>
        </w:r>
        <w:r>
          <w:rPr>
            <w:noProof/>
            <w:webHidden/>
          </w:rPr>
          <w:instrText xml:space="preserve"> PAGEREF _Toc515540731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2" w:history="1">
        <w:r>
          <w:rPr>
            <w:rStyle w:val="Lienhypertexte"/>
            <w:noProof/>
          </w:rPr>
          <w:t>2.</w:t>
        </w:r>
        <w:r>
          <w:rPr>
            <w:rFonts w:eastAsiaTheme="minorEastAsia" w:cstheme="minorBidi"/>
            <w:smallCaps w:val="0"/>
            <w:noProof/>
            <w:sz w:val="22"/>
            <w:szCs w:val="22"/>
            <w:lang w:eastAsia="fr-BE"/>
          </w:rPr>
          <w:tab/>
        </w:r>
        <w:r>
          <w:rPr>
            <w:rStyle w:val="Lienhypertexte"/>
            <w:noProof/>
          </w:rPr>
          <w:t>Mécanisme particulier de dévolution des emplois pour l’année scolaire 2018-2019</w:t>
        </w:r>
        <w:r>
          <w:rPr>
            <w:noProof/>
            <w:webHidden/>
          </w:rPr>
          <w:tab/>
        </w:r>
        <w:r>
          <w:rPr>
            <w:noProof/>
            <w:webHidden/>
          </w:rPr>
          <w:fldChar w:fldCharType="begin"/>
        </w:r>
        <w:r>
          <w:rPr>
            <w:noProof/>
            <w:webHidden/>
          </w:rPr>
          <w:instrText xml:space="preserve"> PAGEREF _Toc515540732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3" w:history="1">
        <w:r>
          <w:rPr>
            <w:rStyle w:val="Lienhypertexte"/>
            <w:noProof/>
          </w:rPr>
          <w:t>3.</w:t>
        </w:r>
        <w:r>
          <w:rPr>
            <w:rFonts w:eastAsiaTheme="minorEastAsia" w:cstheme="minorBidi"/>
            <w:smallCaps w:val="0"/>
            <w:noProof/>
            <w:sz w:val="22"/>
            <w:szCs w:val="22"/>
            <w:lang w:eastAsia="fr-BE"/>
          </w:rPr>
          <w:tab/>
        </w:r>
        <w:r>
          <w:rPr>
            <w:rStyle w:val="Lienhypertexte"/>
            <w:noProof/>
          </w:rPr>
          <w:t>Nouvelle configuration des emplois de maître de psychomotricité</w:t>
        </w:r>
        <w:r>
          <w:rPr>
            <w:noProof/>
            <w:webHidden/>
          </w:rPr>
          <w:tab/>
        </w:r>
        <w:r>
          <w:rPr>
            <w:noProof/>
            <w:webHidden/>
          </w:rPr>
          <w:fldChar w:fldCharType="begin"/>
        </w:r>
        <w:r>
          <w:rPr>
            <w:noProof/>
            <w:webHidden/>
          </w:rPr>
          <w:instrText xml:space="preserve"> PAGEREF _Toc515540733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4" w:history="1">
        <w:r>
          <w:rPr>
            <w:rStyle w:val="Lienhypertexte"/>
            <w:noProof/>
          </w:rPr>
          <w:t>4.</w:t>
        </w:r>
        <w:r>
          <w:rPr>
            <w:rFonts w:eastAsiaTheme="minorEastAsia" w:cstheme="minorBidi"/>
            <w:smallCaps w:val="0"/>
            <w:noProof/>
            <w:sz w:val="22"/>
            <w:szCs w:val="22"/>
            <w:lang w:eastAsia="fr-BE"/>
          </w:rPr>
          <w:tab/>
        </w:r>
        <w:r>
          <w:rPr>
            <w:rStyle w:val="Lienhypertexte"/>
            <w:noProof/>
          </w:rPr>
          <w:t>Application limitée dans le temps</w:t>
        </w:r>
        <w:r>
          <w:rPr>
            <w:noProof/>
            <w:webHidden/>
          </w:rPr>
          <w:tab/>
        </w:r>
        <w:r>
          <w:rPr>
            <w:noProof/>
            <w:webHidden/>
          </w:rPr>
          <w:fldChar w:fldCharType="begin"/>
        </w:r>
        <w:r>
          <w:rPr>
            <w:noProof/>
            <w:webHidden/>
          </w:rPr>
          <w:instrText xml:space="preserve"> PAGEREF _Toc515540734 \h </w:instrText>
        </w:r>
        <w:r>
          <w:rPr>
            <w:noProof/>
            <w:webHidden/>
          </w:rPr>
        </w:r>
        <w:r>
          <w:rPr>
            <w:noProof/>
            <w:webHidden/>
          </w:rPr>
          <w:fldChar w:fldCharType="separate"/>
        </w:r>
        <w:r>
          <w:rPr>
            <w:noProof/>
            <w:webHidden/>
          </w:rPr>
          <w:t>5</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35" w:history="1">
        <w:r>
          <w:rPr>
            <w:rStyle w:val="Lienhypertexte"/>
            <w:noProof/>
          </w:rPr>
          <w:t>CHAPITRE Ier – CALCUL DU CADRE D’EMPLOIS DES MAÎTRES DE PSYCHOMOTRICITÉ</w:t>
        </w:r>
        <w:r>
          <w:rPr>
            <w:noProof/>
            <w:webHidden/>
          </w:rPr>
          <w:tab/>
        </w:r>
        <w:r>
          <w:rPr>
            <w:noProof/>
            <w:webHidden/>
          </w:rPr>
          <w:fldChar w:fldCharType="begin"/>
        </w:r>
        <w:r>
          <w:rPr>
            <w:noProof/>
            <w:webHidden/>
          </w:rPr>
          <w:instrText xml:space="preserve"> PAGEREF _Toc515540735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6" w:history="1">
        <w:r>
          <w:rPr>
            <w:rStyle w:val="Lienhypertexte"/>
            <w:noProof/>
          </w:rPr>
          <w:t>1.</w:t>
        </w:r>
        <w:r>
          <w:rPr>
            <w:rFonts w:eastAsiaTheme="minorEastAsia" w:cstheme="minorBidi"/>
            <w:smallCaps w:val="0"/>
            <w:noProof/>
            <w:sz w:val="22"/>
            <w:szCs w:val="22"/>
            <w:lang w:eastAsia="fr-BE"/>
          </w:rPr>
          <w:tab/>
        </w:r>
        <w:r>
          <w:rPr>
            <w:rStyle w:val="Lienhypertexte"/>
            <w:noProof/>
          </w:rPr>
          <w:t>Règle de calcul</w:t>
        </w:r>
        <w:r>
          <w:rPr>
            <w:noProof/>
            <w:webHidden/>
          </w:rPr>
          <w:tab/>
        </w:r>
        <w:r>
          <w:rPr>
            <w:noProof/>
            <w:webHidden/>
          </w:rPr>
          <w:fldChar w:fldCharType="begin"/>
        </w:r>
        <w:r>
          <w:rPr>
            <w:noProof/>
            <w:webHidden/>
          </w:rPr>
          <w:instrText xml:space="preserve"> PAGEREF _Toc515540736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7" w:history="1">
        <w:r>
          <w:rPr>
            <w:rStyle w:val="Lienhypertexte"/>
            <w:noProof/>
          </w:rPr>
          <w:t>2.</w:t>
        </w:r>
        <w:r>
          <w:rPr>
            <w:rFonts w:eastAsiaTheme="minorEastAsia" w:cstheme="minorBidi"/>
            <w:smallCaps w:val="0"/>
            <w:noProof/>
            <w:sz w:val="22"/>
            <w:szCs w:val="22"/>
            <w:lang w:eastAsia="fr-BE"/>
          </w:rPr>
          <w:tab/>
        </w:r>
        <w:r>
          <w:rPr>
            <w:rStyle w:val="Lienhypertexte"/>
            <w:noProof/>
          </w:rPr>
          <w:t>Calcul du nombre d’emplois d’instituteur maternel</w:t>
        </w:r>
        <w:r>
          <w:rPr>
            <w:noProof/>
            <w:webHidden/>
          </w:rPr>
          <w:tab/>
        </w:r>
        <w:r>
          <w:rPr>
            <w:noProof/>
            <w:webHidden/>
          </w:rPr>
          <w:fldChar w:fldCharType="begin"/>
        </w:r>
        <w:r>
          <w:rPr>
            <w:noProof/>
            <w:webHidden/>
          </w:rPr>
          <w:instrText xml:space="preserve"> PAGEREF _Toc515540737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8" w:history="1">
        <w:r>
          <w:rPr>
            <w:rStyle w:val="Lienhypertexte"/>
            <w:noProof/>
            <w:lang w:val="fr-FR" w:eastAsia="fr-FR"/>
          </w:rPr>
          <w:t>3.</w:t>
        </w:r>
        <w:r>
          <w:rPr>
            <w:rFonts w:eastAsiaTheme="minorEastAsia" w:cstheme="minorBidi"/>
            <w:smallCaps w:val="0"/>
            <w:noProof/>
            <w:sz w:val="22"/>
            <w:szCs w:val="22"/>
            <w:lang w:eastAsia="fr-BE"/>
          </w:rPr>
          <w:tab/>
        </w:r>
        <w:r>
          <w:rPr>
            <w:rStyle w:val="Lienhypertexte"/>
            <w:noProof/>
            <w:lang w:val="fr-FR" w:eastAsia="fr-FR"/>
          </w:rPr>
          <w:t>L’application Primver</w:t>
        </w:r>
        <w:r>
          <w:rPr>
            <w:noProof/>
            <w:webHidden/>
          </w:rPr>
          <w:tab/>
        </w:r>
        <w:r>
          <w:rPr>
            <w:noProof/>
            <w:webHidden/>
          </w:rPr>
          <w:fldChar w:fldCharType="begin"/>
        </w:r>
        <w:r>
          <w:rPr>
            <w:noProof/>
            <w:webHidden/>
          </w:rPr>
          <w:instrText xml:space="preserve"> PAGEREF _Toc515540738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39" w:history="1">
        <w:r>
          <w:rPr>
            <w:rStyle w:val="Lienhypertexte"/>
            <w:noProof/>
            <w:lang w:val="fr-FR" w:eastAsia="fr-FR"/>
          </w:rPr>
          <w:t>4.</w:t>
        </w:r>
        <w:r>
          <w:rPr>
            <w:rFonts w:eastAsiaTheme="minorEastAsia" w:cstheme="minorBidi"/>
            <w:smallCaps w:val="0"/>
            <w:noProof/>
            <w:sz w:val="22"/>
            <w:szCs w:val="22"/>
            <w:lang w:eastAsia="fr-BE"/>
          </w:rPr>
          <w:tab/>
        </w:r>
        <w:r>
          <w:rPr>
            <w:rStyle w:val="Lienhypertexte"/>
            <w:noProof/>
            <w:lang w:val="fr-FR" w:eastAsia="fr-FR"/>
          </w:rPr>
          <w:t>Augmentation de cadre en cours d’année scolaire</w:t>
        </w:r>
        <w:r>
          <w:rPr>
            <w:noProof/>
            <w:webHidden/>
          </w:rPr>
          <w:tab/>
        </w:r>
        <w:r>
          <w:rPr>
            <w:noProof/>
            <w:webHidden/>
          </w:rPr>
          <w:fldChar w:fldCharType="begin"/>
        </w:r>
        <w:r>
          <w:rPr>
            <w:noProof/>
            <w:webHidden/>
          </w:rPr>
          <w:instrText xml:space="preserve"> PAGEREF _Toc515540739 \h </w:instrText>
        </w:r>
        <w:r>
          <w:rPr>
            <w:noProof/>
            <w:webHidden/>
          </w:rPr>
        </w:r>
        <w:r>
          <w:rPr>
            <w:noProof/>
            <w:webHidden/>
          </w:rPr>
          <w:fldChar w:fldCharType="separate"/>
        </w:r>
        <w:r>
          <w:rPr>
            <w:noProof/>
            <w:webHidden/>
          </w:rPr>
          <w:t>7</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0" w:history="1">
        <w:r>
          <w:rPr>
            <w:rStyle w:val="Lienhypertexte"/>
            <w:noProof/>
            <w:lang w:val="fr-FR" w:eastAsia="fr-FR"/>
          </w:rPr>
          <w:t>5.</w:t>
        </w:r>
        <w:r>
          <w:rPr>
            <w:rFonts w:eastAsiaTheme="minorEastAsia" w:cstheme="minorBidi"/>
            <w:smallCaps w:val="0"/>
            <w:noProof/>
            <w:sz w:val="22"/>
            <w:szCs w:val="22"/>
            <w:lang w:eastAsia="fr-BE"/>
          </w:rPr>
          <w:tab/>
        </w:r>
        <w:r>
          <w:rPr>
            <w:rStyle w:val="Lienhypertexte"/>
            <w:noProof/>
            <w:lang w:val="fr-FR" w:eastAsia="fr-FR"/>
          </w:rPr>
          <w:t>Personne de contact</w:t>
        </w:r>
        <w:r>
          <w:rPr>
            <w:noProof/>
            <w:webHidden/>
          </w:rPr>
          <w:tab/>
        </w:r>
        <w:r>
          <w:rPr>
            <w:noProof/>
            <w:webHidden/>
          </w:rPr>
          <w:fldChar w:fldCharType="begin"/>
        </w:r>
        <w:r>
          <w:rPr>
            <w:noProof/>
            <w:webHidden/>
          </w:rPr>
          <w:instrText xml:space="preserve"> PAGEREF _Toc515540740 \h </w:instrText>
        </w:r>
        <w:r>
          <w:rPr>
            <w:noProof/>
            <w:webHidden/>
          </w:rPr>
        </w:r>
        <w:r>
          <w:rPr>
            <w:noProof/>
            <w:webHidden/>
          </w:rPr>
          <w:fldChar w:fldCharType="separate"/>
        </w:r>
        <w:r>
          <w:rPr>
            <w:noProof/>
            <w:webHidden/>
          </w:rPr>
          <w:t>7</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41" w:history="1">
        <w:r>
          <w:rPr>
            <w:rStyle w:val="Lienhypertexte"/>
            <w:noProof/>
          </w:rPr>
          <w:t>CHAPITRE II - CHAMP D’APPLICATION</w:t>
        </w:r>
        <w:r>
          <w:rPr>
            <w:noProof/>
            <w:webHidden/>
          </w:rPr>
          <w:tab/>
        </w:r>
        <w:r>
          <w:rPr>
            <w:noProof/>
            <w:webHidden/>
          </w:rPr>
          <w:fldChar w:fldCharType="begin"/>
        </w:r>
        <w:r>
          <w:rPr>
            <w:noProof/>
            <w:webHidden/>
          </w:rPr>
          <w:instrText xml:space="preserve"> PAGEREF _Toc515540741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2" w:history="1">
        <w:r>
          <w:rPr>
            <w:rStyle w:val="Lienhypertexte"/>
            <w:noProof/>
          </w:rPr>
          <w:t>1.</w:t>
        </w:r>
        <w:r>
          <w:rPr>
            <w:rFonts w:eastAsiaTheme="minorEastAsia" w:cstheme="minorBidi"/>
            <w:smallCaps w:val="0"/>
            <w:noProof/>
            <w:sz w:val="22"/>
            <w:szCs w:val="22"/>
            <w:lang w:eastAsia="fr-BE"/>
          </w:rPr>
          <w:tab/>
        </w:r>
        <w:r>
          <w:rPr>
            <w:rStyle w:val="Lienhypertexte"/>
            <w:noProof/>
          </w:rPr>
          <w:t>Les membres du personnel recrutés en qualité de maîtres de psychomotricité ACS/APE dans l’enseignement officiel subventionné par la Communauté française</w:t>
        </w:r>
        <w:r>
          <w:rPr>
            <w:noProof/>
            <w:webHidden/>
          </w:rPr>
          <w:tab/>
        </w:r>
        <w:r>
          <w:rPr>
            <w:noProof/>
            <w:webHidden/>
          </w:rPr>
          <w:fldChar w:fldCharType="begin"/>
        </w:r>
        <w:r>
          <w:rPr>
            <w:noProof/>
            <w:webHidden/>
          </w:rPr>
          <w:instrText xml:space="preserve"> PAGEREF _Toc515540742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3" w:history="1">
        <w:r>
          <w:rPr>
            <w:rStyle w:val="Lienhypertexte"/>
            <w:noProof/>
          </w:rPr>
          <w:t>2.</w:t>
        </w:r>
        <w:r>
          <w:rPr>
            <w:rFonts w:eastAsiaTheme="minorEastAsia" w:cstheme="minorBidi"/>
            <w:smallCaps w:val="0"/>
            <w:noProof/>
            <w:sz w:val="22"/>
            <w:szCs w:val="22"/>
            <w:lang w:eastAsia="fr-BE"/>
          </w:rPr>
          <w:tab/>
        </w:r>
        <w:r>
          <w:rPr>
            <w:rStyle w:val="Lienhypertexte"/>
            <w:noProof/>
          </w:rPr>
          <w:t>Les membres du personnel désignés en qualité de maîtres de psychomotricité à titre temporaire en vertu du décret du 6 juin 1994</w:t>
        </w:r>
        <w:r>
          <w:rPr>
            <w:noProof/>
            <w:webHidden/>
          </w:rPr>
          <w:tab/>
        </w:r>
        <w:r>
          <w:rPr>
            <w:noProof/>
            <w:webHidden/>
          </w:rPr>
          <w:fldChar w:fldCharType="begin"/>
        </w:r>
        <w:r>
          <w:rPr>
            <w:noProof/>
            <w:webHidden/>
          </w:rPr>
          <w:instrText xml:space="preserve"> PAGEREF _Toc515540743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4" w:history="1">
        <w:r>
          <w:rPr>
            <w:rStyle w:val="Lienhypertexte"/>
            <w:noProof/>
          </w:rPr>
          <w:t>3.</w:t>
        </w:r>
        <w:r>
          <w:rPr>
            <w:rFonts w:eastAsiaTheme="minorEastAsia" w:cstheme="minorBidi"/>
            <w:smallCaps w:val="0"/>
            <w:noProof/>
            <w:sz w:val="22"/>
            <w:szCs w:val="22"/>
            <w:lang w:eastAsia="fr-BE"/>
          </w:rPr>
          <w:tab/>
        </w:r>
        <w:r>
          <w:rPr>
            <w:rStyle w:val="Lienhypertexte"/>
            <w:noProof/>
          </w:rPr>
          <w:t>Les maîtres de psychomotricité revêtant la qualité de membres du personnel temporaires prioritaires, au sens de l'article 24, § 1er, du décret du 6 juin 1994</w:t>
        </w:r>
        <w:r>
          <w:rPr>
            <w:noProof/>
            <w:webHidden/>
          </w:rPr>
          <w:tab/>
        </w:r>
        <w:r>
          <w:rPr>
            <w:noProof/>
            <w:webHidden/>
          </w:rPr>
          <w:fldChar w:fldCharType="begin"/>
        </w:r>
        <w:r>
          <w:rPr>
            <w:noProof/>
            <w:webHidden/>
          </w:rPr>
          <w:instrText xml:space="preserve"> PAGEREF _Toc515540744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5" w:history="1">
        <w:r>
          <w:rPr>
            <w:rStyle w:val="Lienhypertexte"/>
            <w:noProof/>
          </w:rPr>
          <w:t>4.</w:t>
        </w:r>
        <w:r>
          <w:rPr>
            <w:rFonts w:eastAsiaTheme="minorEastAsia" w:cstheme="minorBidi"/>
            <w:smallCaps w:val="0"/>
            <w:noProof/>
            <w:sz w:val="22"/>
            <w:szCs w:val="22"/>
            <w:lang w:eastAsia="fr-BE"/>
          </w:rPr>
          <w:tab/>
        </w:r>
        <w:r>
          <w:rPr>
            <w:rStyle w:val="Lienhypertexte"/>
            <w:noProof/>
          </w:rPr>
          <w:t>Les membres du personnel nommés en qualité de maîtres de psychomotricité pour une charge incomplète dans cette fonction en vertu du décret du 6 juin 1994</w:t>
        </w:r>
        <w:r>
          <w:rPr>
            <w:noProof/>
            <w:webHidden/>
          </w:rPr>
          <w:tab/>
        </w:r>
        <w:r>
          <w:rPr>
            <w:noProof/>
            <w:webHidden/>
          </w:rPr>
          <w:fldChar w:fldCharType="begin"/>
        </w:r>
        <w:r>
          <w:rPr>
            <w:noProof/>
            <w:webHidden/>
          </w:rPr>
          <w:instrText xml:space="preserve"> PAGEREF _Toc515540745 \h </w:instrText>
        </w:r>
        <w:r>
          <w:rPr>
            <w:noProof/>
            <w:webHidden/>
          </w:rPr>
        </w:r>
        <w:r>
          <w:rPr>
            <w:noProof/>
            <w:webHidden/>
          </w:rPr>
          <w:fldChar w:fldCharType="separate"/>
        </w:r>
        <w:r>
          <w:rPr>
            <w:noProof/>
            <w:webHidden/>
          </w:rPr>
          <w:t>8</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46" w:history="1">
        <w:r>
          <w:rPr>
            <w:rStyle w:val="Lienhypertexte"/>
            <w:noProof/>
          </w:rPr>
          <w:t>CHAPITRE III - CALCUL PARTICULIER DE L’ANCIENNETÉ DES MAÎTRES DE PSYCHOMOTRICITÉ ACS/APE</w:t>
        </w:r>
        <w:r>
          <w:rPr>
            <w:noProof/>
            <w:webHidden/>
          </w:rPr>
          <w:tab/>
        </w:r>
        <w:r>
          <w:rPr>
            <w:noProof/>
            <w:webHidden/>
          </w:rPr>
          <w:fldChar w:fldCharType="begin"/>
        </w:r>
        <w:r>
          <w:rPr>
            <w:noProof/>
            <w:webHidden/>
          </w:rPr>
          <w:instrText xml:space="preserve"> PAGEREF _Toc515540746 \h </w:instrText>
        </w:r>
        <w:r>
          <w:rPr>
            <w:noProof/>
            <w:webHidden/>
          </w:rPr>
        </w:r>
        <w:r>
          <w:rPr>
            <w:noProof/>
            <w:webHidden/>
          </w:rPr>
          <w:fldChar w:fldCharType="separate"/>
        </w:r>
        <w:r>
          <w:rPr>
            <w:noProof/>
            <w:webHidden/>
          </w:rPr>
          <w:t>9</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47" w:history="1">
        <w:r>
          <w:rPr>
            <w:rStyle w:val="Lienhypertexte"/>
            <w:noProof/>
          </w:rPr>
          <w:t>1.</w:t>
        </w:r>
        <w:r>
          <w:rPr>
            <w:rFonts w:eastAsiaTheme="minorEastAsia" w:cstheme="minorBidi"/>
            <w:smallCaps w:val="0"/>
            <w:noProof/>
            <w:sz w:val="22"/>
            <w:szCs w:val="22"/>
            <w:lang w:eastAsia="fr-BE"/>
          </w:rPr>
          <w:tab/>
        </w:r>
        <w:r>
          <w:rPr>
            <w:rStyle w:val="Lienhypertexte"/>
            <w:noProof/>
          </w:rPr>
          <w:t>Rappel des règles classiques de calcul de l’ancienneté des membres du personnel de l’enseignement officiel subventionné</w:t>
        </w:r>
        <w:r>
          <w:rPr>
            <w:noProof/>
            <w:webHidden/>
          </w:rPr>
          <w:tab/>
        </w:r>
        <w:r>
          <w:rPr>
            <w:noProof/>
            <w:webHidden/>
          </w:rPr>
          <w:fldChar w:fldCharType="begin"/>
        </w:r>
        <w:r>
          <w:rPr>
            <w:noProof/>
            <w:webHidden/>
          </w:rPr>
          <w:instrText xml:space="preserve"> PAGEREF _Toc515540747 \h </w:instrText>
        </w:r>
        <w:r>
          <w:rPr>
            <w:noProof/>
            <w:webHidden/>
          </w:rPr>
        </w:r>
        <w:r>
          <w:rPr>
            <w:noProof/>
            <w:webHidden/>
          </w:rPr>
          <w:fldChar w:fldCharType="separate"/>
        </w:r>
        <w:r>
          <w:rPr>
            <w:noProof/>
            <w:webHidden/>
          </w:rPr>
          <w:t>9</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48" w:history="1">
        <w:r>
          <w:rPr>
            <w:rStyle w:val="Lienhypertexte"/>
            <w:noProof/>
          </w:rPr>
          <w:t>1.1.</w:t>
        </w:r>
        <w:r>
          <w:rPr>
            <w:rFonts w:eastAsiaTheme="minorEastAsia" w:cstheme="minorBidi"/>
            <w:i w:val="0"/>
            <w:iCs w:val="0"/>
            <w:noProof/>
            <w:sz w:val="22"/>
            <w:szCs w:val="22"/>
            <w:lang w:eastAsia="fr-BE"/>
          </w:rPr>
          <w:tab/>
        </w:r>
        <w:r>
          <w:rPr>
            <w:rStyle w:val="Lienhypertexte"/>
            <w:noProof/>
          </w:rPr>
          <w:t>Les membres du personnel exerçant dans le cadre organique</w:t>
        </w:r>
        <w:r>
          <w:rPr>
            <w:noProof/>
            <w:webHidden/>
          </w:rPr>
          <w:tab/>
        </w:r>
        <w:r>
          <w:rPr>
            <w:noProof/>
            <w:webHidden/>
          </w:rPr>
          <w:fldChar w:fldCharType="begin"/>
        </w:r>
        <w:r>
          <w:rPr>
            <w:noProof/>
            <w:webHidden/>
          </w:rPr>
          <w:instrText xml:space="preserve"> PAGEREF _Toc515540748 \h </w:instrText>
        </w:r>
        <w:r>
          <w:rPr>
            <w:noProof/>
            <w:webHidden/>
          </w:rPr>
        </w:r>
        <w:r>
          <w:rPr>
            <w:noProof/>
            <w:webHidden/>
          </w:rPr>
          <w:fldChar w:fldCharType="separate"/>
        </w:r>
        <w:r>
          <w:rPr>
            <w:noProof/>
            <w:webHidden/>
          </w:rPr>
          <w:t>9</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49" w:history="1">
        <w:r>
          <w:rPr>
            <w:rStyle w:val="Lienhypertexte"/>
            <w:noProof/>
          </w:rPr>
          <w:t>1.2.</w:t>
        </w:r>
        <w:r>
          <w:rPr>
            <w:rFonts w:eastAsiaTheme="minorEastAsia" w:cstheme="minorBidi"/>
            <w:i w:val="0"/>
            <w:iCs w:val="0"/>
            <w:noProof/>
            <w:sz w:val="22"/>
            <w:szCs w:val="22"/>
            <w:lang w:eastAsia="fr-BE"/>
          </w:rPr>
          <w:tab/>
        </w:r>
        <w:r>
          <w:rPr>
            <w:rStyle w:val="Lienhypertexte"/>
            <w:noProof/>
          </w:rPr>
          <w:t>Les membres du personnel engagés sous contrat ACS/APE</w:t>
        </w:r>
        <w:r>
          <w:rPr>
            <w:noProof/>
            <w:webHidden/>
          </w:rPr>
          <w:tab/>
        </w:r>
        <w:r>
          <w:rPr>
            <w:noProof/>
            <w:webHidden/>
          </w:rPr>
          <w:fldChar w:fldCharType="begin"/>
        </w:r>
        <w:r>
          <w:rPr>
            <w:noProof/>
            <w:webHidden/>
          </w:rPr>
          <w:instrText xml:space="preserve"> PAGEREF _Toc515540749 \h </w:instrText>
        </w:r>
        <w:r>
          <w:rPr>
            <w:noProof/>
            <w:webHidden/>
          </w:rPr>
        </w:r>
        <w:r>
          <w:rPr>
            <w:noProof/>
            <w:webHidden/>
          </w:rPr>
          <w:fldChar w:fldCharType="separate"/>
        </w:r>
        <w:r>
          <w:rPr>
            <w:noProof/>
            <w:webHidden/>
          </w:rPr>
          <w:t>9</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50" w:history="1">
        <w:r>
          <w:rPr>
            <w:rStyle w:val="Lienhypertexte"/>
            <w:noProof/>
          </w:rPr>
          <w:t>2.</w:t>
        </w:r>
        <w:r>
          <w:rPr>
            <w:rFonts w:eastAsiaTheme="minorEastAsia" w:cstheme="minorBidi"/>
            <w:smallCaps w:val="0"/>
            <w:noProof/>
            <w:sz w:val="22"/>
            <w:szCs w:val="22"/>
            <w:lang w:eastAsia="fr-BE"/>
          </w:rPr>
          <w:tab/>
        </w:r>
        <w:r>
          <w:rPr>
            <w:rStyle w:val="Lienhypertexte"/>
            <w:noProof/>
          </w:rPr>
          <w:t>Modes dérogatoires de calcul de l’ancienneté instaurés par le décret</w:t>
        </w:r>
        <w:r>
          <w:rPr>
            <w:noProof/>
            <w:webHidden/>
          </w:rPr>
          <w:tab/>
        </w:r>
        <w:r>
          <w:rPr>
            <w:noProof/>
            <w:webHidden/>
          </w:rPr>
          <w:fldChar w:fldCharType="begin"/>
        </w:r>
        <w:r>
          <w:rPr>
            <w:noProof/>
            <w:webHidden/>
          </w:rPr>
          <w:instrText xml:space="preserve"> PAGEREF _Toc515540750 \h </w:instrText>
        </w:r>
        <w:r>
          <w:rPr>
            <w:noProof/>
            <w:webHidden/>
          </w:rPr>
        </w:r>
        <w:r>
          <w:rPr>
            <w:noProof/>
            <w:webHidden/>
          </w:rPr>
          <w:fldChar w:fldCharType="separate"/>
        </w:r>
        <w:r>
          <w:rPr>
            <w:noProof/>
            <w:webHidden/>
          </w:rPr>
          <w:t>10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51" w:history="1">
        <w:r>
          <w:rPr>
            <w:rStyle w:val="Lienhypertexte"/>
            <w:noProof/>
          </w:rPr>
          <w:t>2.1.</w:t>
        </w:r>
        <w:r>
          <w:rPr>
            <w:rFonts w:eastAsiaTheme="minorEastAsia" w:cstheme="minorBidi"/>
            <w:i w:val="0"/>
            <w:iCs w:val="0"/>
            <w:noProof/>
            <w:sz w:val="22"/>
            <w:szCs w:val="22"/>
            <w:lang w:eastAsia="fr-BE"/>
          </w:rPr>
          <w:tab/>
        </w:r>
        <w:r>
          <w:rPr>
            <w:rStyle w:val="Lienhypertexte"/>
            <w:noProof/>
          </w:rPr>
          <w:t>Suppression du coefficient réducteur de 0,3</w:t>
        </w:r>
        <w:r>
          <w:rPr>
            <w:noProof/>
            <w:webHidden/>
          </w:rPr>
          <w:tab/>
        </w:r>
        <w:r>
          <w:rPr>
            <w:noProof/>
            <w:webHidden/>
          </w:rPr>
          <w:fldChar w:fldCharType="begin"/>
        </w:r>
        <w:r>
          <w:rPr>
            <w:noProof/>
            <w:webHidden/>
          </w:rPr>
          <w:instrText xml:space="preserve"> PAGEREF _Toc515540751 \h </w:instrText>
        </w:r>
        <w:r>
          <w:rPr>
            <w:noProof/>
            <w:webHidden/>
          </w:rPr>
        </w:r>
        <w:r>
          <w:rPr>
            <w:noProof/>
            <w:webHidden/>
          </w:rPr>
          <w:fldChar w:fldCharType="separate"/>
        </w:r>
        <w:r>
          <w:rPr>
            <w:noProof/>
            <w:webHidden/>
          </w:rPr>
          <w:t>10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52" w:history="1">
        <w:r>
          <w:rPr>
            <w:rStyle w:val="Lienhypertexte"/>
            <w:noProof/>
          </w:rPr>
          <w:t>2.2.</w:t>
        </w:r>
        <w:r>
          <w:rPr>
            <w:rFonts w:eastAsiaTheme="minorEastAsia" w:cstheme="minorBidi"/>
            <w:i w:val="0"/>
            <w:iCs w:val="0"/>
            <w:noProof/>
            <w:sz w:val="22"/>
            <w:szCs w:val="22"/>
            <w:lang w:eastAsia="fr-BE"/>
          </w:rPr>
          <w:tab/>
        </w:r>
        <w:r>
          <w:rPr>
            <w:rStyle w:val="Lienhypertexte"/>
            <w:noProof/>
          </w:rPr>
          <w:t>Valorisation de l’ancienneté auprès de chacun ou certains des pouvoirs organisateurs ayant employé le membre du personnel dans le cadre des emplois partagés</w:t>
        </w:r>
        <w:r>
          <w:rPr>
            <w:noProof/>
            <w:webHidden/>
          </w:rPr>
          <w:tab/>
        </w:r>
        <w:r>
          <w:rPr>
            <w:noProof/>
            <w:webHidden/>
          </w:rPr>
          <w:fldChar w:fldCharType="begin"/>
        </w:r>
        <w:r>
          <w:rPr>
            <w:noProof/>
            <w:webHidden/>
          </w:rPr>
          <w:instrText xml:space="preserve"> PAGEREF _Toc515540752 \h </w:instrText>
        </w:r>
        <w:r>
          <w:rPr>
            <w:noProof/>
            <w:webHidden/>
          </w:rPr>
        </w:r>
        <w:r>
          <w:rPr>
            <w:noProof/>
            <w:webHidden/>
          </w:rPr>
          <w:fldChar w:fldCharType="separate"/>
        </w:r>
        <w:r>
          <w:rPr>
            <w:noProof/>
            <w:webHidden/>
          </w:rPr>
          <w:t>11</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53" w:history="1">
        <w:r>
          <w:rPr>
            <w:rStyle w:val="Lienhypertexte"/>
            <w:noProof/>
          </w:rPr>
          <w:t>2.2.1.</w:t>
        </w:r>
        <w:r>
          <w:rPr>
            <w:rFonts w:eastAsiaTheme="minorEastAsia" w:cstheme="minorBidi"/>
            <w:noProof/>
            <w:sz w:val="22"/>
            <w:szCs w:val="22"/>
            <w:lang w:eastAsia="fr-BE"/>
          </w:rPr>
          <w:tab/>
        </w:r>
        <w:r>
          <w:rPr>
            <w:rStyle w:val="Lienhypertexte"/>
            <w:noProof/>
          </w:rPr>
          <w:t>Faculté offerte au membre du personnel à sa demande dûment documentée</w:t>
        </w:r>
        <w:r>
          <w:rPr>
            <w:noProof/>
            <w:webHidden/>
          </w:rPr>
          <w:tab/>
        </w:r>
        <w:r>
          <w:rPr>
            <w:noProof/>
            <w:webHidden/>
          </w:rPr>
          <w:fldChar w:fldCharType="begin"/>
        </w:r>
        <w:r>
          <w:rPr>
            <w:noProof/>
            <w:webHidden/>
          </w:rPr>
          <w:instrText xml:space="preserve"> PAGEREF _Toc515540753 \h </w:instrText>
        </w:r>
        <w:r>
          <w:rPr>
            <w:noProof/>
            <w:webHidden/>
          </w:rPr>
        </w:r>
        <w:r>
          <w:rPr>
            <w:noProof/>
            <w:webHidden/>
          </w:rPr>
          <w:fldChar w:fldCharType="separate"/>
        </w:r>
        <w:r>
          <w:rPr>
            <w:noProof/>
            <w:webHidden/>
          </w:rPr>
          <w:t>11</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54" w:history="1">
        <w:r>
          <w:rPr>
            <w:rStyle w:val="Lienhypertexte"/>
            <w:noProof/>
          </w:rPr>
          <w:t>2.2.2.</w:t>
        </w:r>
        <w:r>
          <w:rPr>
            <w:rFonts w:eastAsiaTheme="minorEastAsia" w:cstheme="minorBidi"/>
            <w:noProof/>
            <w:sz w:val="22"/>
            <w:szCs w:val="22"/>
            <w:lang w:eastAsia="fr-BE"/>
          </w:rPr>
          <w:tab/>
        </w:r>
        <w:r>
          <w:rPr>
            <w:rStyle w:val="Lienhypertexte"/>
            <w:noProof/>
          </w:rPr>
          <w:t>Premier cas de figure : le membre du personnel en fait la demande</w:t>
        </w:r>
        <w:r>
          <w:rPr>
            <w:noProof/>
            <w:webHidden/>
          </w:rPr>
          <w:tab/>
        </w:r>
        <w:r>
          <w:rPr>
            <w:noProof/>
            <w:webHidden/>
          </w:rPr>
          <w:fldChar w:fldCharType="begin"/>
        </w:r>
        <w:r>
          <w:rPr>
            <w:noProof/>
            <w:webHidden/>
          </w:rPr>
          <w:instrText xml:space="preserve"> PAGEREF _Toc515540754 \h </w:instrText>
        </w:r>
        <w:r>
          <w:rPr>
            <w:noProof/>
            <w:webHidden/>
          </w:rPr>
        </w:r>
        <w:r>
          <w:rPr>
            <w:noProof/>
            <w:webHidden/>
          </w:rPr>
          <w:fldChar w:fldCharType="separate"/>
        </w:r>
        <w:r>
          <w:rPr>
            <w:noProof/>
            <w:webHidden/>
          </w:rPr>
          <w:t>12</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55" w:history="1">
        <w:r>
          <w:rPr>
            <w:rStyle w:val="Lienhypertexte"/>
            <w:noProof/>
          </w:rPr>
          <w:t>2.2.3.</w:t>
        </w:r>
        <w:r>
          <w:rPr>
            <w:rFonts w:eastAsiaTheme="minorEastAsia" w:cstheme="minorBidi"/>
            <w:noProof/>
            <w:sz w:val="22"/>
            <w:szCs w:val="22"/>
            <w:lang w:eastAsia="fr-BE"/>
          </w:rPr>
          <w:tab/>
        </w:r>
        <w:r>
          <w:rPr>
            <w:rStyle w:val="Lienhypertexte"/>
            <w:noProof/>
          </w:rPr>
          <w:t>Deuxième cas de figure : le membre du personnel n’en fait pas la demande</w:t>
        </w:r>
        <w:r>
          <w:rPr>
            <w:noProof/>
            <w:webHidden/>
          </w:rPr>
          <w:tab/>
        </w:r>
        <w:r>
          <w:rPr>
            <w:noProof/>
            <w:webHidden/>
          </w:rPr>
          <w:fldChar w:fldCharType="begin"/>
        </w:r>
        <w:r>
          <w:rPr>
            <w:noProof/>
            <w:webHidden/>
          </w:rPr>
          <w:instrText xml:space="preserve"> PAGEREF _Toc515540755 \h </w:instrText>
        </w:r>
        <w:r>
          <w:rPr>
            <w:noProof/>
            <w:webHidden/>
          </w:rPr>
        </w:r>
        <w:r>
          <w:rPr>
            <w:noProof/>
            <w:webHidden/>
          </w:rPr>
          <w:fldChar w:fldCharType="separate"/>
        </w:r>
        <w:r>
          <w:rPr>
            <w:noProof/>
            <w:webHidden/>
          </w:rPr>
          <w:t>12</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56" w:history="1">
        <w:r>
          <w:rPr>
            <w:rStyle w:val="Lienhypertexte"/>
            <w:noProof/>
          </w:rPr>
          <w:t>CHAPITRE IV - PROCÉDURE PARTICULIÈRE DE DÉSIGNATION À TITRE TEMPORAIRE LORS DE L’ANNÉE SCOLAIRE 2018-2019</w:t>
        </w:r>
        <w:r>
          <w:rPr>
            <w:noProof/>
            <w:webHidden/>
          </w:rPr>
          <w:tab/>
        </w:r>
        <w:r>
          <w:rPr>
            <w:noProof/>
            <w:webHidden/>
          </w:rPr>
          <w:fldChar w:fldCharType="begin"/>
        </w:r>
        <w:r>
          <w:rPr>
            <w:noProof/>
            <w:webHidden/>
          </w:rPr>
          <w:instrText xml:space="preserve"> PAGEREF _Toc515540756 \h </w:instrText>
        </w:r>
        <w:r>
          <w:rPr>
            <w:noProof/>
            <w:webHidden/>
          </w:rPr>
        </w:r>
        <w:r>
          <w:rPr>
            <w:noProof/>
            <w:webHidden/>
          </w:rPr>
          <w:fldChar w:fldCharType="separate"/>
        </w:r>
        <w:r>
          <w:rPr>
            <w:noProof/>
            <w:webHidden/>
          </w:rPr>
          <w:t>14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57" w:history="1">
        <w:r>
          <w:rPr>
            <w:rStyle w:val="Lienhypertexte"/>
            <w:noProof/>
          </w:rPr>
          <w:t>1.</w:t>
        </w:r>
        <w:r>
          <w:rPr>
            <w:rFonts w:eastAsiaTheme="minorEastAsia" w:cstheme="minorBidi"/>
            <w:smallCaps w:val="0"/>
            <w:noProof/>
            <w:sz w:val="22"/>
            <w:szCs w:val="22"/>
            <w:lang w:eastAsia="fr-BE"/>
          </w:rPr>
          <w:tab/>
        </w:r>
        <w:r>
          <w:rPr>
            <w:rStyle w:val="Lienhypertexte"/>
            <w:noProof/>
          </w:rPr>
          <w:t>Conditions à réunir pour bénéficier d’une désignation à titre temporaire dans les emplois de maître de psychomotricité dans l’enseignement fondamental ordinaire lors de l’année scolaire 2018-2019</w:t>
        </w:r>
        <w:r>
          <w:rPr>
            <w:noProof/>
            <w:webHidden/>
          </w:rPr>
          <w:tab/>
        </w:r>
        <w:r>
          <w:rPr>
            <w:noProof/>
            <w:webHidden/>
          </w:rPr>
          <w:fldChar w:fldCharType="begin"/>
        </w:r>
        <w:r>
          <w:rPr>
            <w:noProof/>
            <w:webHidden/>
          </w:rPr>
          <w:instrText xml:space="preserve"> PAGEREF _Toc515540757 \h </w:instrText>
        </w:r>
        <w:r>
          <w:rPr>
            <w:noProof/>
            <w:webHidden/>
          </w:rPr>
        </w:r>
        <w:r>
          <w:rPr>
            <w:noProof/>
            <w:webHidden/>
          </w:rPr>
          <w:fldChar w:fldCharType="separate"/>
        </w:r>
        <w:r>
          <w:rPr>
            <w:noProof/>
            <w:webHidden/>
          </w:rPr>
          <w:t>14</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58" w:history="1">
        <w:r>
          <w:rPr>
            <w:rStyle w:val="Lienhypertexte"/>
            <w:noProof/>
          </w:rPr>
          <w:t>1.1.</w:t>
        </w:r>
        <w:r>
          <w:rPr>
            <w:rFonts w:eastAsiaTheme="minorEastAsia" w:cstheme="minorBidi"/>
            <w:i w:val="0"/>
            <w:iCs w:val="0"/>
            <w:noProof/>
            <w:sz w:val="22"/>
            <w:szCs w:val="22"/>
            <w:lang w:eastAsia="fr-BE"/>
          </w:rPr>
          <w:tab/>
        </w:r>
        <w:r>
          <w:rPr>
            <w:rStyle w:val="Lienhypertexte"/>
            <w:noProof/>
          </w:rPr>
          <w:t>Faire acte de candidature</w:t>
        </w:r>
        <w:r>
          <w:rPr>
            <w:noProof/>
            <w:webHidden/>
          </w:rPr>
          <w:tab/>
        </w:r>
        <w:r>
          <w:rPr>
            <w:noProof/>
            <w:webHidden/>
          </w:rPr>
          <w:fldChar w:fldCharType="begin"/>
        </w:r>
        <w:r>
          <w:rPr>
            <w:noProof/>
            <w:webHidden/>
          </w:rPr>
          <w:instrText xml:space="preserve"> PAGEREF _Toc515540758 \h </w:instrText>
        </w:r>
        <w:r>
          <w:rPr>
            <w:noProof/>
            <w:webHidden/>
          </w:rPr>
        </w:r>
        <w:r>
          <w:rPr>
            <w:noProof/>
            <w:webHidden/>
          </w:rPr>
          <w:fldChar w:fldCharType="separate"/>
        </w:r>
        <w:r>
          <w:rPr>
            <w:noProof/>
            <w:webHidden/>
          </w:rPr>
          <w:t>14</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59" w:history="1">
        <w:r>
          <w:rPr>
            <w:rStyle w:val="Lienhypertexte"/>
            <w:noProof/>
          </w:rPr>
          <w:t>1.2.</w:t>
        </w:r>
        <w:r>
          <w:rPr>
            <w:rFonts w:eastAsiaTheme="minorEastAsia" w:cstheme="minorBidi"/>
            <w:i w:val="0"/>
            <w:iCs w:val="0"/>
            <w:noProof/>
            <w:sz w:val="22"/>
            <w:szCs w:val="22"/>
            <w:lang w:eastAsia="fr-BE"/>
          </w:rPr>
          <w:tab/>
        </w:r>
        <w:r>
          <w:rPr>
            <w:rStyle w:val="Lienhypertexte"/>
            <w:noProof/>
          </w:rPr>
          <w:t>Répondre aux conditions de désignation à titre temporaire</w:t>
        </w:r>
        <w:r>
          <w:rPr>
            <w:noProof/>
            <w:webHidden/>
          </w:rPr>
          <w:tab/>
        </w:r>
        <w:r>
          <w:rPr>
            <w:noProof/>
            <w:webHidden/>
          </w:rPr>
          <w:fldChar w:fldCharType="begin"/>
        </w:r>
        <w:r>
          <w:rPr>
            <w:noProof/>
            <w:webHidden/>
          </w:rPr>
          <w:instrText xml:space="preserve"> PAGEREF _Toc515540759 \h </w:instrText>
        </w:r>
        <w:r>
          <w:rPr>
            <w:noProof/>
            <w:webHidden/>
          </w:rPr>
        </w:r>
        <w:r>
          <w:rPr>
            <w:noProof/>
            <w:webHidden/>
          </w:rPr>
          <w:fldChar w:fldCharType="separate"/>
        </w:r>
        <w:r>
          <w:rPr>
            <w:noProof/>
            <w:webHidden/>
          </w:rPr>
          <w:t>14</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60" w:history="1">
        <w:r>
          <w:rPr>
            <w:rStyle w:val="Lienhypertexte"/>
            <w:noProof/>
          </w:rPr>
          <w:t>1.3.</w:t>
        </w:r>
        <w:r>
          <w:rPr>
            <w:rFonts w:eastAsiaTheme="minorEastAsia" w:cstheme="minorBidi"/>
            <w:i w:val="0"/>
            <w:iCs w:val="0"/>
            <w:noProof/>
            <w:sz w:val="22"/>
            <w:szCs w:val="22"/>
            <w:lang w:eastAsia="fr-BE"/>
          </w:rPr>
          <w:tab/>
        </w:r>
        <w:r>
          <w:rPr>
            <w:rStyle w:val="Lienhypertexte"/>
            <w:noProof/>
          </w:rPr>
          <w:t>Situation des membres du personnel non visés au Chapitre II</w:t>
        </w:r>
        <w:r>
          <w:rPr>
            <w:noProof/>
            <w:webHidden/>
          </w:rPr>
          <w:tab/>
        </w:r>
        <w:r>
          <w:rPr>
            <w:noProof/>
            <w:webHidden/>
          </w:rPr>
          <w:fldChar w:fldCharType="begin"/>
        </w:r>
        <w:r>
          <w:rPr>
            <w:noProof/>
            <w:webHidden/>
          </w:rPr>
          <w:instrText xml:space="preserve"> PAGEREF _Toc515540760 \h </w:instrText>
        </w:r>
        <w:r>
          <w:rPr>
            <w:noProof/>
            <w:webHidden/>
          </w:rPr>
        </w:r>
        <w:r>
          <w:rPr>
            <w:noProof/>
            <w:webHidden/>
          </w:rPr>
          <w:fldChar w:fldCharType="separate"/>
        </w:r>
        <w:r>
          <w:rPr>
            <w:noProof/>
            <w:webHidden/>
          </w:rPr>
          <w:t>15</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61" w:history="1">
        <w:r>
          <w:rPr>
            <w:rStyle w:val="Lienhypertexte"/>
            <w:noProof/>
          </w:rPr>
          <w:t>1.4.</w:t>
        </w:r>
        <w:r>
          <w:rPr>
            <w:rFonts w:eastAsiaTheme="minorEastAsia" w:cstheme="minorBidi"/>
            <w:i w:val="0"/>
            <w:iCs w:val="0"/>
            <w:noProof/>
            <w:sz w:val="22"/>
            <w:szCs w:val="22"/>
            <w:lang w:eastAsia="fr-BE"/>
          </w:rPr>
          <w:tab/>
        </w:r>
        <w:r>
          <w:rPr>
            <w:rStyle w:val="Lienhypertexte"/>
            <w:noProof/>
          </w:rPr>
          <w:t>Modalités pratiques des introductions de demandes d’avance pour les anciens maitres de psychomotricité ACS/APE - Mentions particulières sur le FOND12</w:t>
        </w:r>
        <w:r>
          <w:rPr>
            <w:noProof/>
            <w:webHidden/>
          </w:rPr>
          <w:tab/>
        </w:r>
        <w:r>
          <w:rPr>
            <w:noProof/>
            <w:webHidden/>
          </w:rPr>
          <w:fldChar w:fldCharType="begin"/>
        </w:r>
        <w:r>
          <w:rPr>
            <w:noProof/>
            <w:webHidden/>
          </w:rPr>
          <w:instrText xml:space="preserve"> PAGEREF _Toc515540761 \h </w:instrText>
        </w:r>
        <w:r>
          <w:rPr>
            <w:noProof/>
            <w:webHidden/>
          </w:rPr>
        </w:r>
        <w:r>
          <w:rPr>
            <w:noProof/>
            <w:webHidden/>
          </w:rPr>
          <w:fldChar w:fldCharType="separate"/>
        </w:r>
        <w:r>
          <w:rPr>
            <w:noProof/>
            <w:webHidden/>
          </w:rPr>
          <w:t>15</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62" w:history="1">
        <w:r>
          <w:rPr>
            <w:rStyle w:val="Lienhypertexte"/>
            <w:noProof/>
          </w:rPr>
          <w:t>2.</w:t>
        </w:r>
        <w:r>
          <w:rPr>
            <w:rFonts w:eastAsiaTheme="minorEastAsia" w:cstheme="minorBidi"/>
            <w:smallCaps w:val="0"/>
            <w:noProof/>
            <w:sz w:val="22"/>
            <w:szCs w:val="22"/>
            <w:lang w:eastAsia="fr-BE"/>
          </w:rPr>
          <w:tab/>
        </w:r>
        <w:r>
          <w:rPr>
            <w:rStyle w:val="Lienhypertexte"/>
            <w:noProof/>
          </w:rPr>
          <w:t>Mode opératoire d’attribution des postes en trois temps</w:t>
        </w:r>
        <w:r>
          <w:rPr>
            <w:noProof/>
            <w:webHidden/>
          </w:rPr>
          <w:tab/>
        </w:r>
        <w:r>
          <w:rPr>
            <w:noProof/>
            <w:webHidden/>
          </w:rPr>
          <w:fldChar w:fldCharType="begin"/>
        </w:r>
        <w:r>
          <w:rPr>
            <w:noProof/>
            <w:webHidden/>
          </w:rPr>
          <w:instrText xml:space="preserve"> PAGEREF _Toc515540762 \h </w:instrText>
        </w:r>
        <w:r>
          <w:rPr>
            <w:noProof/>
            <w:webHidden/>
          </w:rPr>
        </w:r>
        <w:r>
          <w:rPr>
            <w:noProof/>
            <w:webHidden/>
          </w:rPr>
          <w:fldChar w:fldCharType="separate"/>
        </w:r>
        <w:r>
          <w:rPr>
            <w:noProof/>
            <w:webHidden/>
          </w:rPr>
          <w:t>15</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63" w:history="1">
        <w:r>
          <w:rPr>
            <w:rStyle w:val="Lienhypertexte"/>
            <w:noProof/>
          </w:rPr>
          <w:t>2.1.</w:t>
        </w:r>
        <w:r>
          <w:rPr>
            <w:rFonts w:eastAsiaTheme="minorEastAsia" w:cstheme="minorBidi"/>
            <w:i w:val="0"/>
            <w:iCs w:val="0"/>
            <w:noProof/>
            <w:sz w:val="22"/>
            <w:szCs w:val="22"/>
            <w:lang w:eastAsia="fr-BE"/>
          </w:rPr>
          <w:tab/>
        </w:r>
        <w:r>
          <w:rPr>
            <w:rStyle w:val="Lienhypertexte"/>
            <w:noProof/>
          </w:rPr>
          <w:t>PREMIÈRE ÉTAPE - Priorité à concurrence de la charge maximale précédemment exercée</w:t>
        </w:r>
        <w:r>
          <w:rPr>
            <w:noProof/>
            <w:webHidden/>
          </w:rPr>
          <w:tab/>
        </w:r>
        <w:r>
          <w:rPr>
            <w:noProof/>
            <w:webHidden/>
          </w:rPr>
          <w:fldChar w:fldCharType="begin"/>
        </w:r>
        <w:r>
          <w:rPr>
            <w:noProof/>
            <w:webHidden/>
          </w:rPr>
          <w:instrText xml:space="preserve"> PAGEREF _Toc515540763 \h </w:instrText>
        </w:r>
        <w:r>
          <w:rPr>
            <w:noProof/>
            <w:webHidden/>
          </w:rPr>
        </w:r>
        <w:r>
          <w:rPr>
            <w:noProof/>
            <w:webHidden/>
          </w:rPr>
          <w:fldChar w:fldCharType="separate"/>
        </w:r>
        <w:r>
          <w:rPr>
            <w:noProof/>
            <w:webHidden/>
          </w:rPr>
          <w:t>16</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64" w:history="1">
        <w:r>
          <w:rPr>
            <w:rStyle w:val="Lienhypertexte"/>
            <w:noProof/>
          </w:rPr>
          <w:t>2.1.1.</w:t>
        </w:r>
        <w:r>
          <w:rPr>
            <w:rFonts w:eastAsiaTheme="minorEastAsia" w:cstheme="minorBidi"/>
            <w:noProof/>
            <w:sz w:val="22"/>
            <w:szCs w:val="22"/>
            <w:lang w:eastAsia="fr-BE"/>
          </w:rPr>
          <w:tab/>
        </w:r>
        <w:r>
          <w:rPr>
            <w:rStyle w:val="Lienhypertexte"/>
            <w:noProof/>
          </w:rPr>
          <w:t>Attribution des emplois</w:t>
        </w:r>
        <w:r>
          <w:rPr>
            <w:noProof/>
            <w:webHidden/>
          </w:rPr>
          <w:tab/>
        </w:r>
        <w:r>
          <w:rPr>
            <w:noProof/>
            <w:webHidden/>
          </w:rPr>
          <w:fldChar w:fldCharType="begin"/>
        </w:r>
        <w:r>
          <w:rPr>
            <w:noProof/>
            <w:webHidden/>
          </w:rPr>
          <w:instrText xml:space="preserve"> PAGEREF _Toc515540764 \h </w:instrText>
        </w:r>
        <w:r>
          <w:rPr>
            <w:noProof/>
            <w:webHidden/>
          </w:rPr>
        </w:r>
        <w:r>
          <w:rPr>
            <w:noProof/>
            <w:webHidden/>
          </w:rPr>
          <w:fldChar w:fldCharType="separate"/>
        </w:r>
        <w:r>
          <w:rPr>
            <w:noProof/>
            <w:webHidden/>
          </w:rPr>
          <w:t>16</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65" w:history="1">
        <w:r>
          <w:rPr>
            <w:rStyle w:val="Lienhypertexte"/>
            <w:noProof/>
          </w:rPr>
          <w:t>2.1.2.</w:t>
        </w:r>
        <w:r>
          <w:rPr>
            <w:rFonts w:eastAsiaTheme="minorEastAsia" w:cstheme="minorBidi"/>
            <w:noProof/>
            <w:sz w:val="22"/>
            <w:szCs w:val="22"/>
            <w:lang w:eastAsia="fr-BE"/>
          </w:rPr>
          <w:tab/>
        </w:r>
        <w:r>
          <w:rPr>
            <w:rStyle w:val="Lienhypertexte"/>
            <w:noProof/>
          </w:rPr>
          <w:t>Assouplissement des conditions à remplir pour figurer au classement des temporaires prioritaires et faire usage du droit de priorité</w:t>
        </w:r>
        <w:r>
          <w:rPr>
            <w:noProof/>
            <w:webHidden/>
          </w:rPr>
          <w:tab/>
        </w:r>
        <w:r>
          <w:rPr>
            <w:noProof/>
            <w:webHidden/>
          </w:rPr>
          <w:fldChar w:fldCharType="begin"/>
        </w:r>
        <w:r>
          <w:rPr>
            <w:noProof/>
            <w:webHidden/>
          </w:rPr>
          <w:instrText xml:space="preserve"> PAGEREF _Toc515540765 \h </w:instrText>
        </w:r>
        <w:r>
          <w:rPr>
            <w:noProof/>
            <w:webHidden/>
          </w:rPr>
        </w:r>
        <w:r>
          <w:rPr>
            <w:noProof/>
            <w:webHidden/>
          </w:rPr>
          <w:fldChar w:fldCharType="separate"/>
        </w:r>
        <w:r>
          <w:rPr>
            <w:noProof/>
            <w:webHidden/>
          </w:rPr>
          <w:t>16</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66" w:history="1">
        <w:r>
          <w:rPr>
            <w:rStyle w:val="Lienhypertexte"/>
            <w:noProof/>
          </w:rPr>
          <w:t>2.2.</w:t>
        </w:r>
        <w:r>
          <w:rPr>
            <w:rFonts w:eastAsiaTheme="minorEastAsia" w:cstheme="minorBidi"/>
            <w:i w:val="0"/>
            <w:iCs w:val="0"/>
            <w:noProof/>
            <w:sz w:val="22"/>
            <w:szCs w:val="22"/>
            <w:lang w:eastAsia="fr-BE"/>
          </w:rPr>
          <w:tab/>
        </w:r>
        <w:r>
          <w:rPr>
            <w:rStyle w:val="Lienhypertexte"/>
            <w:noProof/>
          </w:rPr>
          <w:t>DEUXIÈME ÉTAPE - Priorité au-delà de la charge maximale précédemment exercée</w:t>
        </w:r>
        <w:r>
          <w:rPr>
            <w:noProof/>
            <w:webHidden/>
          </w:rPr>
          <w:tab/>
        </w:r>
        <w:r>
          <w:rPr>
            <w:noProof/>
            <w:webHidden/>
          </w:rPr>
          <w:fldChar w:fldCharType="begin"/>
        </w:r>
        <w:r>
          <w:rPr>
            <w:noProof/>
            <w:webHidden/>
          </w:rPr>
          <w:instrText xml:space="preserve"> PAGEREF _Toc515540766 \h </w:instrText>
        </w:r>
        <w:r>
          <w:rPr>
            <w:noProof/>
            <w:webHidden/>
          </w:rPr>
        </w:r>
        <w:r>
          <w:rPr>
            <w:noProof/>
            <w:webHidden/>
          </w:rPr>
          <w:fldChar w:fldCharType="separate"/>
        </w:r>
        <w:r>
          <w:rPr>
            <w:noProof/>
            <w:webHidden/>
          </w:rPr>
          <w:t>17</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67" w:history="1">
        <w:r>
          <w:rPr>
            <w:rStyle w:val="Lienhypertexte"/>
            <w:noProof/>
          </w:rPr>
          <w:t>2.2.1.</w:t>
        </w:r>
        <w:r>
          <w:rPr>
            <w:rFonts w:eastAsiaTheme="minorEastAsia" w:cstheme="minorBidi"/>
            <w:noProof/>
            <w:sz w:val="22"/>
            <w:szCs w:val="22"/>
            <w:lang w:eastAsia="fr-BE"/>
          </w:rPr>
          <w:tab/>
        </w:r>
        <w:r>
          <w:rPr>
            <w:rStyle w:val="Lienhypertexte"/>
            <w:noProof/>
          </w:rPr>
          <w:t>Attribution des emplois</w:t>
        </w:r>
        <w:r>
          <w:rPr>
            <w:noProof/>
            <w:webHidden/>
          </w:rPr>
          <w:tab/>
        </w:r>
        <w:r>
          <w:rPr>
            <w:noProof/>
            <w:webHidden/>
          </w:rPr>
          <w:fldChar w:fldCharType="begin"/>
        </w:r>
        <w:r>
          <w:rPr>
            <w:noProof/>
            <w:webHidden/>
          </w:rPr>
          <w:instrText xml:space="preserve"> PAGEREF _Toc515540767 \h </w:instrText>
        </w:r>
        <w:r>
          <w:rPr>
            <w:noProof/>
            <w:webHidden/>
          </w:rPr>
        </w:r>
        <w:r>
          <w:rPr>
            <w:noProof/>
            <w:webHidden/>
          </w:rPr>
          <w:fldChar w:fldCharType="separate"/>
        </w:r>
        <w:r>
          <w:rPr>
            <w:noProof/>
            <w:webHidden/>
          </w:rPr>
          <w:t>17</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768" w:history="1">
        <w:r>
          <w:rPr>
            <w:rStyle w:val="Lienhypertexte"/>
            <w:noProof/>
          </w:rPr>
          <w:t>2.2.2.</w:t>
        </w:r>
        <w:r>
          <w:rPr>
            <w:rFonts w:eastAsiaTheme="minorEastAsia" w:cstheme="minorBidi"/>
            <w:noProof/>
            <w:sz w:val="22"/>
            <w:szCs w:val="22"/>
            <w:lang w:eastAsia="fr-BE"/>
          </w:rPr>
          <w:tab/>
        </w:r>
        <w:r>
          <w:rPr>
            <w:rStyle w:val="Lienhypertexte"/>
            <w:noProof/>
          </w:rPr>
          <w:t>Assouplissement des conditions à remplir pour figurer au classement des temporaires prioritaires et faire usage du droit de priorité (renvoi au point 2.1.2.)</w:t>
        </w:r>
        <w:r>
          <w:rPr>
            <w:noProof/>
            <w:webHidden/>
          </w:rPr>
          <w:tab/>
        </w:r>
        <w:r>
          <w:rPr>
            <w:noProof/>
            <w:webHidden/>
          </w:rPr>
          <w:fldChar w:fldCharType="begin"/>
        </w:r>
        <w:r>
          <w:rPr>
            <w:noProof/>
            <w:webHidden/>
          </w:rPr>
          <w:instrText xml:space="preserve"> PAGEREF _Toc515540768 \h </w:instrText>
        </w:r>
        <w:r>
          <w:rPr>
            <w:noProof/>
            <w:webHidden/>
          </w:rPr>
        </w:r>
        <w:r>
          <w:rPr>
            <w:noProof/>
            <w:webHidden/>
          </w:rPr>
          <w:fldChar w:fldCharType="separate"/>
        </w:r>
        <w:r>
          <w:rPr>
            <w:noProof/>
            <w:webHidden/>
          </w:rPr>
          <w:t>17</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69" w:history="1">
        <w:r>
          <w:rPr>
            <w:rStyle w:val="Lienhypertexte"/>
            <w:noProof/>
          </w:rPr>
          <w:t>2.3.</w:t>
        </w:r>
        <w:r>
          <w:rPr>
            <w:rFonts w:eastAsiaTheme="minorEastAsia" w:cstheme="minorBidi"/>
            <w:i w:val="0"/>
            <w:iCs w:val="0"/>
            <w:noProof/>
            <w:sz w:val="22"/>
            <w:szCs w:val="22"/>
            <w:lang w:eastAsia="fr-BE"/>
          </w:rPr>
          <w:tab/>
        </w:r>
        <w:r>
          <w:rPr>
            <w:rStyle w:val="Lienhypertexte"/>
            <w:noProof/>
          </w:rPr>
          <w:t>TROISIÈME ÉTAPE - Attribution des emplois restants</w:t>
        </w:r>
        <w:r>
          <w:rPr>
            <w:noProof/>
            <w:webHidden/>
          </w:rPr>
          <w:tab/>
        </w:r>
        <w:r>
          <w:rPr>
            <w:noProof/>
            <w:webHidden/>
          </w:rPr>
          <w:fldChar w:fldCharType="begin"/>
        </w:r>
        <w:r>
          <w:rPr>
            <w:noProof/>
            <w:webHidden/>
          </w:rPr>
          <w:instrText xml:space="preserve"> PAGEREF _Toc515540769 \h </w:instrText>
        </w:r>
        <w:r>
          <w:rPr>
            <w:noProof/>
            <w:webHidden/>
          </w:rPr>
        </w:r>
        <w:r>
          <w:rPr>
            <w:noProof/>
            <w:webHidden/>
          </w:rPr>
          <w:fldChar w:fldCharType="separate"/>
        </w:r>
        <w:r>
          <w:rPr>
            <w:noProof/>
            <w:webHidden/>
          </w:rPr>
          <w:t>17</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70" w:history="1">
        <w:r>
          <w:rPr>
            <w:rStyle w:val="Lienhypertexte"/>
            <w:noProof/>
          </w:rPr>
          <w:t>3.</w:t>
        </w:r>
        <w:r>
          <w:rPr>
            <w:rFonts w:eastAsiaTheme="minorEastAsia" w:cstheme="minorBidi"/>
            <w:smallCaps w:val="0"/>
            <w:noProof/>
            <w:sz w:val="22"/>
            <w:szCs w:val="22"/>
            <w:lang w:eastAsia="fr-BE"/>
          </w:rPr>
          <w:tab/>
        </w:r>
        <w:r>
          <w:rPr>
            <w:rStyle w:val="Lienhypertexte"/>
            <w:noProof/>
          </w:rPr>
          <w:t>Implications pratiques de cette dévolution particulière des emplois pour l’année scolaire 2018-2019</w:t>
        </w:r>
        <w:r>
          <w:rPr>
            <w:noProof/>
            <w:webHidden/>
          </w:rPr>
          <w:tab/>
        </w:r>
        <w:r>
          <w:rPr>
            <w:noProof/>
            <w:webHidden/>
          </w:rPr>
          <w:fldChar w:fldCharType="begin"/>
        </w:r>
        <w:r>
          <w:rPr>
            <w:noProof/>
            <w:webHidden/>
          </w:rPr>
          <w:instrText xml:space="preserve"> PAGEREF _Toc515540770 \h </w:instrText>
        </w:r>
        <w:r>
          <w:rPr>
            <w:noProof/>
            <w:webHidden/>
          </w:rPr>
        </w:r>
        <w:r>
          <w:rPr>
            <w:noProof/>
            <w:webHidden/>
          </w:rPr>
          <w:fldChar w:fldCharType="separate"/>
        </w:r>
        <w:r>
          <w:rPr>
            <w:noProof/>
            <w:webHidden/>
          </w:rPr>
          <w:t>18</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71" w:history="1">
        <w:r>
          <w:rPr>
            <w:rStyle w:val="Lienhypertexte"/>
            <w:noProof/>
          </w:rPr>
          <w:t>CHAPITRE V - PROCÉDURE PARTICULIÈRE DE NOMINATION À TITRE DÉFINITIF LORS DE L’ANNÉE SCOLAIRE 2018-2019</w:t>
        </w:r>
        <w:r>
          <w:rPr>
            <w:noProof/>
            <w:webHidden/>
          </w:rPr>
          <w:tab/>
        </w:r>
        <w:r>
          <w:rPr>
            <w:noProof/>
            <w:webHidden/>
          </w:rPr>
          <w:fldChar w:fldCharType="begin"/>
        </w:r>
        <w:r>
          <w:rPr>
            <w:noProof/>
            <w:webHidden/>
          </w:rPr>
          <w:instrText xml:space="preserve"> PAGEREF _Toc515540771 \h </w:instrText>
        </w:r>
        <w:r>
          <w:rPr>
            <w:noProof/>
            <w:webHidden/>
          </w:rPr>
        </w:r>
        <w:r>
          <w:rPr>
            <w:noProof/>
            <w:webHidden/>
          </w:rPr>
          <w:fldChar w:fldCharType="separate"/>
        </w:r>
        <w:r>
          <w:rPr>
            <w:noProof/>
            <w:webHidden/>
          </w:rPr>
          <w:t>20</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72" w:history="1">
        <w:r>
          <w:rPr>
            <w:rStyle w:val="Lienhypertexte"/>
            <w:noProof/>
          </w:rPr>
          <w:t>1.</w:t>
        </w:r>
        <w:r>
          <w:rPr>
            <w:rFonts w:eastAsiaTheme="minorEastAsia" w:cstheme="minorBidi"/>
            <w:smallCaps w:val="0"/>
            <w:noProof/>
            <w:sz w:val="22"/>
            <w:szCs w:val="22"/>
            <w:lang w:eastAsia="fr-BE"/>
          </w:rPr>
          <w:tab/>
        </w:r>
        <w:r>
          <w:rPr>
            <w:rStyle w:val="Lienhypertexte"/>
            <w:noProof/>
          </w:rPr>
          <w:t>L’appel aux candidats</w:t>
        </w:r>
        <w:r>
          <w:rPr>
            <w:noProof/>
            <w:webHidden/>
          </w:rPr>
          <w:tab/>
        </w:r>
        <w:r>
          <w:rPr>
            <w:noProof/>
            <w:webHidden/>
          </w:rPr>
          <w:fldChar w:fldCharType="begin"/>
        </w:r>
        <w:r>
          <w:rPr>
            <w:noProof/>
            <w:webHidden/>
          </w:rPr>
          <w:instrText xml:space="preserve"> PAGEREF _Toc515540772 \h </w:instrText>
        </w:r>
        <w:r>
          <w:rPr>
            <w:noProof/>
            <w:webHidden/>
          </w:rPr>
        </w:r>
        <w:r>
          <w:rPr>
            <w:noProof/>
            <w:webHidden/>
          </w:rPr>
          <w:fldChar w:fldCharType="separate"/>
        </w:r>
        <w:r>
          <w:rPr>
            <w:noProof/>
            <w:webHidden/>
          </w:rPr>
          <w:t>20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3" w:history="1">
        <w:r>
          <w:rPr>
            <w:rStyle w:val="Lienhypertexte"/>
            <w:noProof/>
          </w:rPr>
          <w:t>1.1.</w:t>
        </w:r>
        <w:r>
          <w:rPr>
            <w:rFonts w:eastAsiaTheme="minorEastAsia" w:cstheme="minorBidi"/>
            <w:i w:val="0"/>
            <w:iCs w:val="0"/>
            <w:noProof/>
            <w:sz w:val="22"/>
            <w:szCs w:val="22"/>
            <w:lang w:eastAsia="fr-BE"/>
          </w:rPr>
          <w:tab/>
        </w:r>
        <w:r>
          <w:rPr>
            <w:rStyle w:val="Lienhypertexte"/>
            <w:noProof/>
          </w:rPr>
          <w:t>Calendrier particulier</w:t>
        </w:r>
        <w:r>
          <w:rPr>
            <w:noProof/>
            <w:webHidden/>
          </w:rPr>
          <w:tab/>
        </w:r>
        <w:r>
          <w:rPr>
            <w:noProof/>
            <w:webHidden/>
          </w:rPr>
          <w:fldChar w:fldCharType="begin"/>
        </w:r>
        <w:r>
          <w:rPr>
            <w:noProof/>
            <w:webHidden/>
          </w:rPr>
          <w:instrText xml:space="preserve"> PAGEREF _Toc515540773 \h </w:instrText>
        </w:r>
        <w:r>
          <w:rPr>
            <w:noProof/>
            <w:webHidden/>
          </w:rPr>
        </w:r>
        <w:r>
          <w:rPr>
            <w:noProof/>
            <w:webHidden/>
          </w:rPr>
          <w:fldChar w:fldCharType="separate"/>
        </w:r>
        <w:r>
          <w:rPr>
            <w:noProof/>
            <w:webHidden/>
          </w:rPr>
          <w:t>20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4" w:history="1">
        <w:r>
          <w:rPr>
            <w:rStyle w:val="Lienhypertexte"/>
            <w:noProof/>
          </w:rPr>
          <w:t>1.2.</w:t>
        </w:r>
        <w:r>
          <w:rPr>
            <w:rFonts w:eastAsiaTheme="minorEastAsia" w:cstheme="minorBidi"/>
            <w:i w:val="0"/>
            <w:iCs w:val="0"/>
            <w:noProof/>
            <w:sz w:val="22"/>
            <w:szCs w:val="22"/>
            <w:lang w:eastAsia="fr-BE"/>
          </w:rPr>
          <w:tab/>
        </w:r>
        <w:r>
          <w:rPr>
            <w:rStyle w:val="Lienhypertexte"/>
            <w:noProof/>
          </w:rPr>
          <w:t>Modalités de l’appel aux candidats</w:t>
        </w:r>
        <w:r>
          <w:rPr>
            <w:noProof/>
            <w:webHidden/>
          </w:rPr>
          <w:tab/>
        </w:r>
        <w:r>
          <w:rPr>
            <w:noProof/>
            <w:webHidden/>
          </w:rPr>
          <w:fldChar w:fldCharType="begin"/>
        </w:r>
        <w:r>
          <w:rPr>
            <w:noProof/>
            <w:webHidden/>
          </w:rPr>
          <w:instrText xml:space="preserve"> PAGEREF _Toc515540774 \h </w:instrText>
        </w:r>
        <w:r>
          <w:rPr>
            <w:noProof/>
            <w:webHidden/>
          </w:rPr>
        </w:r>
        <w:r>
          <w:rPr>
            <w:noProof/>
            <w:webHidden/>
          </w:rPr>
          <w:fldChar w:fldCharType="separate"/>
        </w:r>
        <w:r>
          <w:rPr>
            <w:noProof/>
            <w:webHidden/>
          </w:rPr>
          <w:t>20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5" w:history="1">
        <w:r>
          <w:rPr>
            <w:rStyle w:val="Lienhypertexte"/>
            <w:noProof/>
          </w:rPr>
          <w:t>1.3.</w:t>
        </w:r>
        <w:r>
          <w:rPr>
            <w:rFonts w:eastAsiaTheme="minorEastAsia" w:cstheme="minorBidi"/>
            <w:i w:val="0"/>
            <w:iCs w:val="0"/>
            <w:noProof/>
            <w:sz w:val="22"/>
            <w:szCs w:val="22"/>
            <w:lang w:eastAsia="fr-BE"/>
          </w:rPr>
          <w:tab/>
        </w:r>
        <w:r>
          <w:rPr>
            <w:rStyle w:val="Lienhypertexte"/>
            <w:noProof/>
          </w:rPr>
          <w:t>Modalités des nominations</w:t>
        </w:r>
        <w:r>
          <w:rPr>
            <w:noProof/>
            <w:webHidden/>
          </w:rPr>
          <w:tab/>
        </w:r>
        <w:r>
          <w:rPr>
            <w:noProof/>
            <w:webHidden/>
          </w:rPr>
          <w:fldChar w:fldCharType="begin"/>
        </w:r>
        <w:r>
          <w:rPr>
            <w:noProof/>
            <w:webHidden/>
          </w:rPr>
          <w:instrText xml:space="preserve"> PAGEREF _Toc515540775 \h </w:instrText>
        </w:r>
        <w:r>
          <w:rPr>
            <w:noProof/>
            <w:webHidden/>
          </w:rPr>
        </w:r>
        <w:r>
          <w:rPr>
            <w:noProof/>
            <w:webHidden/>
          </w:rPr>
          <w:fldChar w:fldCharType="separate"/>
        </w:r>
        <w:r>
          <w:rPr>
            <w:noProof/>
            <w:webHidden/>
          </w:rPr>
          <w:t>20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6" w:history="1">
        <w:r>
          <w:rPr>
            <w:rStyle w:val="Lienhypertexte"/>
            <w:noProof/>
          </w:rPr>
          <w:t>1.4.</w:t>
        </w:r>
        <w:r>
          <w:rPr>
            <w:rFonts w:eastAsiaTheme="minorEastAsia" w:cstheme="minorBidi"/>
            <w:i w:val="0"/>
            <w:iCs w:val="0"/>
            <w:noProof/>
            <w:sz w:val="22"/>
            <w:szCs w:val="22"/>
            <w:lang w:eastAsia="fr-BE"/>
          </w:rPr>
          <w:tab/>
        </w:r>
        <w:r>
          <w:rPr>
            <w:rStyle w:val="Lienhypertexte"/>
            <w:noProof/>
          </w:rPr>
          <w:t>Rappel des obligations du pouvoir organisateur en matière de mises en disponibilité par défaut d’emploi et de réaffectations</w:t>
        </w:r>
        <w:r>
          <w:rPr>
            <w:noProof/>
            <w:webHidden/>
          </w:rPr>
          <w:tab/>
        </w:r>
        <w:r>
          <w:rPr>
            <w:noProof/>
            <w:webHidden/>
          </w:rPr>
          <w:fldChar w:fldCharType="begin"/>
        </w:r>
        <w:r>
          <w:rPr>
            <w:noProof/>
            <w:webHidden/>
          </w:rPr>
          <w:instrText xml:space="preserve"> PAGEREF _Toc515540776 \h </w:instrText>
        </w:r>
        <w:r>
          <w:rPr>
            <w:noProof/>
            <w:webHidden/>
          </w:rPr>
        </w:r>
        <w:r>
          <w:rPr>
            <w:noProof/>
            <w:webHidden/>
          </w:rPr>
          <w:fldChar w:fldCharType="separate"/>
        </w:r>
        <w:r>
          <w:rPr>
            <w:noProof/>
            <w:webHidden/>
          </w:rPr>
          <w:t>21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7" w:history="1">
        <w:r>
          <w:rPr>
            <w:rStyle w:val="Lienhypertexte"/>
            <w:noProof/>
          </w:rPr>
          <w:t>1.5.</w:t>
        </w:r>
        <w:r>
          <w:rPr>
            <w:rFonts w:eastAsiaTheme="minorEastAsia" w:cstheme="minorBidi"/>
            <w:i w:val="0"/>
            <w:iCs w:val="0"/>
            <w:noProof/>
            <w:sz w:val="22"/>
            <w:szCs w:val="22"/>
            <w:lang w:eastAsia="fr-BE"/>
          </w:rPr>
          <w:tab/>
        </w:r>
        <w:r>
          <w:rPr>
            <w:rStyle w:val="Lienhypertexte"/>
            <w:noProof/>
          </w:rPr>
          <w:t>Rappel des règles de rationalisation et de subventionnement</w:t>
        </w:r>
        <w:r>
          <w:rPr>
            <w:noProof/>
            <w:webHidden/>
          </w:rPr>
          <w:tab/>
        </w:r>
        <w:r>
          <w:rPr>
            <w:noProof/>
            <w:webHidden/>
          </w:rPr>
          <w:fldChar w:fldCharType="begin"/>
        </w:r>
        <w:r>
          <w:rPr>
            <w:noProof/>
            <w:webHidden/>
          </w:rPr>
          <w:instrText xml:space="preserve"> PAGEREF _Toc515540777 \h </w:instrText>
        </w:r>
        <w:r>
          <w:rPr>
            <w:noProof/>
            <w:webHidden/>
          </w:rPr>
        </w:r>
        <w:r>
          <w:rPr>
            <w:noProof/>
            <w:webHidden/>
          </w:rPr>
          <w:fldChar w:fldCharType="separate"/>
        </w:r>
        <w:r>
          <w:rPr>
            <w:noProof/>
            <w:webHidden/>
          </w:rPr>
          <w:t>21</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78" w:history="1">
        <w:r>
          <w:rPr>
            <w:rStyle w:val="Lienhypertexte"/>
            <w:noProof/>
          </w:rPr>
          <w:t>2.</w:t>
        </w:r>
        <w:r>
          <w:rPr>
            <w:rFonts w:eastAsiaTheme="minorEastAsia" w:cstheme="minorBidi"/>
            <w:smallCaps w:val="0"/>
            <w:noProof/>
            <w:sz w:val="22"/>
            <w:szCs w:val="22"/>
            <w:lang w:eastAsia="fr-BE"/>
          </w:rPr>
          <w:tab/>
        </w:r>
        <w:r>
          <w:rPr>
            <w:rStyle w:val="Lienhypertexte"/>
            <w:noProof/>
          </w:rPr>
          <w:t>Conditions à réunir pour bénéficier d’une nomination à titre définitif dans les emplois de maître de psychomotricité dans l’enseignement fondamental ordinaire lors de l’année scolaire 2018-2019</w:t>
        </w:r>
        <w:r>
          <w:rPr>
            <w:noProof/>
            <w:webHidden/>
          </w:rPr>
          <w:tab/>
        </w:r>
        <w:r>
          <w:rPr>
            <w:noProof/>
            <w:webHidden/>
          </w:rPr>
          <w:fldChar w:fldCharType="begin"/>
        </w:r>
        <w:r>
          <w:rPr>
            <w:noProof/>
            <w:webHidden/>
          </w:rPr>
          <w:instrText xml:space="preserve"> PAGEREF _Toc515540778 \h </w:instrText>
        </w:r>
        <w:r>
          <w:rPr>
            <w:noProof/>
            <w:webHidden/>
          </w:rPr>
        </w:r>
        <w:r>
          <w:rPr>
            <w:noProof/>
            <w:webHidden/>
          </w:rPr>
          <w:fldChar w:fldCharType="separate"/>
        </w:r>
        <w:r>
          <w:rPr>
            <w:noProof/>
            <w:webHidden/>
          </w:rPr>
          <w:t>21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79" w:history="1">
        <w:r>
          <w:rPr>
            <w:rStyle w:val="Lienhypertexte"/>
            <w:noProof/>
          </w:rPr>
          <w:t>2.1.</w:t>
        </w:r>
        <w:r>
          <w:rPr>
            <w:rFonts w:eastAsiaTheme="minorEastAsia" w:cstheme="minorBidi"/>
            <w:i w:val="0"/>
            <w:iCs w:val="0"/>
            <w:noProof/>
            <w:sz w:val="22"/>
            <w:szCs w:val="22"/>
            <w:lang w:eastAsia="fr-BE"/>
          </w:rPr>
          <w:tab/>
        </w:r>
        <w:r>
          <w:rPr>
            <w:rStyle w:val="Lienhypertexte"/>
            <w:noProof/>
          </w:rPr>
          <w:t>Faire acte de candidature</w:t>
        </w:r>
        <w:r>
          <w:rPr>
            <w:noProof/>
            <w:webHidden/>
          </w:rPr>
          <w:tab/>
        </w:r>
        <w:r>
          <w:rPr>
            <w:noProof/>
            <w:webHidden/>
          </w:rPr>
          <w:fldChar w:fldCharType="begin"/>
        </w:r>
        <w:r>
          <w:rPr>
            <w:noProof/>
            <w:webHidden/>
          </w:rPr>
          <w:instrText xml:space="preserve"> PAGEREF _Toc515540779 \h </w:instrText>
        </w:r>
        <w:r>
          <w:rPr>
            <w:noProof/>
            <w:webHidden/>
          </w:rPr>
        </w:r>
        <w:r>
          <w:rPr>
            <w:noProof/>
            <w:webHidden/>
          </w:rPr>
          <w:fldChar w:fldCharType="separate"/>
        </w:r>
        <w:r>
          <w:rPr>
            <w:noProof/>
            <w:webHidden/>
          </w:rPr>
          <w:t>21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80" w:history="1">
        <w:r>
          <w:rPr>
            <w:rStyle w:val="Lienhypertexte"/>
            <w:noProof/>
          </w:rPr>
          <w:t>2.2.</w:t>
        </w:r>
        <w:r>
          <w:rPr>
            <w:rFonts w:eastAsiaTheme="minorEastAsia" w:cstheme="minorBidi"/>
            <w:i w:val="0"/>
            <w:iCs w:val="0"/>
            <w:noProof/>
            <w:sz w:val="22"/>
            <w:szCs w:val="22"/>
            <w:lang w:eastAsia="fr-BE"/>
          </w:rPr>
          <w:tab/>
        </w:r>
        <w:r>
          <w:rPr>
            <w:rStyle w:val="Lienhypertexte"/>
            <w:noProof/>
          </w:rPr>
          <w:t>Répondre aux conditions de nomination à titre définitif</w:t>
        </w:r>
        <w:r>
          <w:rPr>
            <w:noProof/>
            <w:webHidden/>
          </w:rPr>
          <w:tab/>
        </w:r>
        <w:r>
          <w:rPr>
            <w:noProof/>
            <w:webHidden/>
          </w:rPr>
          <w:fldChar w:fldCharType="begin"/>
        </w:r>
        <w:r>
          <w:rPr>
            <w:noProof/>
            <w:webHidden/>
          </w:rPr>
          <w:instrText xml:space="preserve"> PAGEREF _Toc515540780 \h </w:instrText>
        </w:r>
        <w:r>
          <w:rPr>
            <w:noProof/>
            <w:webHidden/>
          </w:rPr>
        </w:r>
        <w:r>
          <w:rPr>
            <w:noProof/>
            <w:webHidden/>
          </w:rPr>
          <w:fldChar w:fldCharType="separate"/>
        </w:r>
        <w:r>
          <w:rPr>
            <w:noProof/>
            <w:webHidden/>
          </w:rPr>
          <w:t>21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81" w:history="1">
        <w:r>
          <w:rPr>
            <w:rStyle w:val="Lienhypertexte"/>
            <w:noProof/>
          </w:rPr>
          <w:t>2.3.</w:t>
        </w:r>
        <w:r>
          <w:rPr>
            <w:rFonts w:eastAsiaTheme="minorEastAsia" w:cstheme="minorBidi"/>
            <w:i w:val="0"/>
            <w:iCs w:val="0"/>
            <w:noProof/>
            <w:sz w:val="22"/>
            <w:szCs w:val="22"/>
            <w:lang w:eastAsia="fr-BE"/>
          </w:rPr>
          <w:tab/>
        </w:r>
        <w:r>
          <w:rPr>
            <w:rStyle w:val="Lienhypertexte"/>
            <w:noProof/>
          </w:rPr>
          <w:t>Situation des membres du personnel non visés au Chapitre II</w:t>
        </w:r>
        <w:r>
          <w:rPr>
            <w:noProof/>
            <w:webHidden/>
          </w:rPr>
          <w:tab/>
        </w:r>
        <w:r>
          <w:rPr>
            <w:noProof/>
            <w:webHidden/>
          </w:rPr>
          <w:fldChar w:fldCharType="begin"/>
        </w:r>
        <w:r>
          <w:rPr>
            <w:noProof/>
            <w:webHidden/>
          </w:rPr>
          <w:instrText xml:space="preserve"> PAGEREF _Toc515540781 \h </w:instrText>
        </w:r>
        <w:r>
          <w:rPr>
            <w:noProof/>
            <w:webHidden/>
          </w:rPr>
        </w:r>
        <w:r>
          <w:rPr>
            <w:noProof/>
            <w:webHidden/>
          </w:rPr>
          <w:fldChar w:fldCharType="separate"/>
        </w:r>
        <w:r>
          <w:rPr>
            <w:noProof/>
            <w:webHidden/>
          </w:rPr>
          <w:t>22</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82" w:history="1">
        <w:r>
          <w:rPr>
            <w:rStyle w:val="Lienhypertexte"/>
            <w:noProof/>
          </w:rPr>
          <w:t>3.</w:t>
        </w:r>
        <w:r>
          <w:rPr>
            <w:rFonts w:eastAsiaTheme="minorEastAsia" w:cstheme="minorBidi"/>
            <w:smallCaps w:val="0"/>
            <w:noProof/>
            <w:sz w:val="22"/>
            <w:szCs w:val="22"/>
            <w:lang w:eastAsia="fr-BE"/>
          </w:rPr>
          <w:tab/>
        </w:r>
        <w:r>
          <w:rPr>
            <w:rStyle w:val="Lienhypertexte"/>
            <w:noProof/>
          </w:rPr>
          <w:t>Mode opératoire d’attribution des postes en trois temps</w:t>
        </w:r>
        <w:r>
          <w:rPr>
            <w:noProof/>
            <w:webHidden/>
          </w:rPr>
          <w:tab/>
        </w:r>
        <w:r>
          <w:rPr>
            <w:noProof/>
            <w:webHidden/>
          </w:rPr>
          <w:fldChar w:fldCharType="begin"/>
        </w:r>
        <w:r>
          <w:rPr>
            <w:noProof/>
            <w:webHidden/>
          </w:rPr>
          <w:instrText xml:space="preserve"> PAGEREF _Toc515540782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83" w:history="1">
        <w:r>
          <w:rPr>
            <w:rStyle w:val="Lienhypertexte"/>
            <w:noProof/>
          </w:rPr>
          <w:t>3.1.</w:t>
        </w:r>
        <w:r>
          <w:rPr>
            <w:rFonts w:eastAsiaTheme="minorEastAsia" w:cstheme="minorBidi"/>
            <w:i w:val="0"/>
            <w:iCs w:val="0"/>
            <w:noProof/>
            <w:sz w:val="22"/>
            <w:szCs w:val="22"/>
            <w:lang w:eastAsia="fr-BE"/>
          </w:rPr>
          <w:tab/>
        </w:r>
        <w:r>
          <w:rPr>
            <w:rStyle w:val="Lienhypertexte"/>
            <w:noProof/>
          </w:rPr>
          <w:t>PREMIÈRE ÉTAPE - Priorité à concurrence de la charge maximale précédemment exercée</w:t>
        </w:r>
        <w:r>
          <w:rPr>
            <w:noProof/>
            <w:webHidden/>
          </w:rPr>
          <w:tab/>
        </w:r>
        <w:r>
          <w:rPr>
            <w:noProof/>
            <w:webHidden/>
          </w:rPr>
          <w:fldChar w:fldCharType="begin"/>
        </w:r>
        <w:r>
          <w:rPr>
            <w:noProof/>
            <w:webHidden/>
          </w:rPr>
          <w:instrText xml:space="preserve"> PAGEREF _Toc515540783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84" w:history="1">
        <w:r>
          <w:rPr>
            <w:rStyle w:val="Lienhypertexte"/>
            <w:noProof/>
          </w:rPr>
          <w:t>3.2.</w:t>
        </w:r>
        <w:r>
          <w:rPr>
            <w:rFonts w:eastAsiaTheme="minorEastAsia" w:cstheme="minorBidi"/>
            <w:i w:val="0"/>
            <w:iCs w:val="0"/>
            <w:noProof/>
            <w:sz w:val="22"/>
            <w:szCs w:val="22"/>
            <w:lang w:eastAsia="fr-BE"/>
          </w:rPr>
          <w:tab/>
        </w:r>
        <w:r>
          <w:rPr>
            <w:rStyle w:val="Lienhypertexte"/>
            <w:noProof/>
          </w:rPr>
          <w:t>DEUXIÈME ÉTAPE - Priorité au-delà de la charge maximale précédemment exercée</w:t>
        </w:r>
        <w:r>
          <w:rPr>
            <w:noProof/>
            <w:webHidden/>
          </w:rPr>
          <w:tab/>
        </w:r>
        <w:r>
          <w:rPr>
            <w:noProof/>
            <w:webHidden/>
          </w:rPr>
          <w:fldChar w:fldCharType="begin"/>
        </w:r>
        <w:r>
          <w:rPr>
            <w:noProof/>
            <w:webHidden/>
          </w:rPr>
          <w:instrText xml:space="preserve"> PAGEREF _Toc515540784 \h </w:instrText>
        </w:r>
        <w:r>
          <w:rPr>
            <w:noProof/>
            <w:webHidden/>
          </w:rPr>
        </w:r>
        <w:r>
          <w:rPr>
            <w:noProof/>
            <w:webHidden/>
          </w:rPr>
          <w:fldChar w:fldCharType="separate"/>
        </w:r>
        <w:r>
          <w:rPr>
            <w:noProof/>
            <w:webHidden/>
          </w:rPr>
          <w:t>23</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785" w:history="1">
        <w:r>
          <w:rPr>
            <w:rStyle w:val="Lienhypertexte"/>
            <w:noProof/>
          </w:rPr>
          <w:t>3.3.</w:t>
        </w:r>
        <w:r>
          <w:rPr>
            <w:rFonts w:eastAsiaTheme="minorEastAsia" w:cstheme="minorBidi"/>
            <w:i w:val="0"/>
            <w:iCs w:val="0"/>
            <w:noProof/>
            <w:sz w:val="22"/>
            <w:szCs w:val="22"/>
            <w:lang w:eastAsia="fr-BE"/>
          </w:rPr>
          <w:tab/>
        </w:r>
        <w:r>
          <w:rPr>
            <w:rStyle w:val="Lienhypertexte"/>
            <w:noProof/>
          </w:rPr>
          <w:t>TROISIÈME ÉTAPE - Attribution des emplois restants</w:t>
        </w:r>
        <w:r>
          <w:rPr>
            <w:noProof/>
            <w:webHidden/>
          </w:rPr>
          <w:tab/>
        </w:r>
        <w:r>
          <w:rPr>
            <w:noProof/>
            <w:webHidden/>
          </w:rPr>
          <w:fldChar w:fldCharType="begin"/>
        </w:r>
        <w:r>
          <w:rPr>
            <w:noProof/>
            <w:webHidden/>
          </w:rPr>
          <w:instrText xml:space="preserve"> PAGEREF _Toc515540785 \h </w:instrText>
        </w:r>
        <w:r>
          <w:rPr>
            <w:noProof/>
            <w:webHidden/>
          </w:rPr>
        </w:r>
        <w:r>
          <w:rPr>
            <w:noProof/>
            <w:webHidden/>
          </w:rPr>
          <w:fldChar w:fldCharType="separate"/>
        </w:r>
        <w:r>
          <w:rPr>
            <w:noProof/>
            <w:webHidden/>
          </w:rPr>
          <w:t>23</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86" w:history="1">
        <w:r>
          <w:rPr>
            <w:rStyle w:val="Lienhypertexte"/>
            <w:noProof/>
          </w:rPr>
          <w:t>ANNEXE 1 – CALENDRIER DES DÉMARCHES À ACCOMPLIR</w:t>
        </w:r>
        <w:r>
          <w:rPr>
            <w:noProof/>
            <w:webHidden/>
          </w:rPr>
          <w:tab/>
        </w:r>
        <w:r>
          <w:rPr>
            <w:noProof/>
            <w:webHidden/>
          </w:rPr>
          <w:fldChar w:fldCharType="begin"/>
        </w:r>
        <w:r>
          <w:rPr>
            <w:noProof/>
            <w:webHidden/>
          </w:rPr>
          <w:instrText xml:space="preserve"> PAGEREF _Toc515540786 \h </w:instrText>
        </w:r>
        <w:r>
          <w:rPr>
            <w:noProof/>
            <w:webHidden/>
          </w:rPr>
        </w:r>
        <w:r>
          <w:rPr>
            <w:noProof/>
            <w:webHidden/>
          </w:rPr>
          <w:fldChar w:fldCharType="separate"/>
        </w:r>
        <w:r>
          <w:rPr>
            <w:noProof/>
            <w:webHidden/>
          </w:rPr>
          <w:t>24</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87" w:history="1">
        <w:r>
          <w:rPr>
            <w:rStyle w:val="Lienhypertexte"/>
            <w:noProof/>
          </w:rPr>
          <w:t>ANNEXE 2 – CONTACTS UTILES</w:t>
        </w:r>
        <w:r>
          <w:rPr>
            <w:noProof/>
            <w:webHidden/>
          </w:rPr>
          <w:tab/>
        </w:r>
        <w:r>
          <w:rPr>
            <w:noProof/>
            <w:webHidden/>
          </w:rPr>
          <w:fldChar w:fldCharType="begin"/>
        </w:r>
        <w:r>
          <w:rPr>
            <w:noProof/>
            <w:webHidden/>
          </w:rPr>
          <w:instrText xml:space="preserve"> PAGEREF _Toc515540787 \h </w:instrText>
        </w:r>
        <w:r>
          <w:rPr>
            <w:noProof/>
            <w:webHidden/>
          </w:rPr>
        </w:r>
        <w:r>
          <w:rPr>
            <w:noProof/>
            <w:webHidden/>
          </w:rPr>
          <w:fldChar w:fldCharType="separate"/>
        </w:r>
        <w:r>
          <w:rPr>
            <w:noProof/>
            <w:webHidden/>
          </w:rPr>
          <w:t>27</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88" w:history="1">
        <w:r>
          <w:rPr>
            <w:rStyle w:val="Lienhypertexte"/>
            <w:b/>
            <w:noProof/>
          </w:rPr>
          <w:t>1.</w:t>
        </w:r>
        <w:r>
          <w:rPr>
            <w:rFonts w:eastAsiaTheme="minorEastAsia" w:cstheme="minorBidi"/>
            <w:smallCaps w:val="0"/>
            <w:noProof/>
            <w:sz w:val="22"/>
            <w:szCs w:val="22"/>
            <w:lang w:eastAsia="fr-BE"/>
          </w:rPr>
          <w:tab/>
        </w:r>
        <w:r>
          <w:rPr>
            <w:rStyle w:val="Lienhypertexte"/>
            <w:b/>
            <w:noProof/>
          </w:rPr>
          <w:t>Service ACS-APE-PTP (AGE – SGCCRS)</w:t>
        </w:r>
        <w:r>
          <w:rPr>
            <w:noProof/>
            <w:webHidden/>
          </w:rPr>
          <w:tab/>
        </w:r>
        <w:r>
          <w:rPr>
            <w:noProof/>
            <w:webHidden/>
          </w:rPr>
          <w:fldChar w:fldCharType="begin"/>
        </w:r>
        <w:r>
          <w:rPr>
            <w:noProof/>
            <w:webHidden/>
          </w:rPr>
          <w:instrText xml:space="preserve"> PAGEREF _Toc515540788 \h </w:instrText>
        </w:r>
        <w:r>
          <w:rPr>
            <w:noProof/>
            <w:webHidden/>
          </w:rPr>
        </w:r>
        <w:r>
          <w:rPr>
            <w:noProof/>
            <w:webHidden/>
          </w:rPr>
          <w:fldChar w:fldCharType="separate"/>
        </w:r>
        <w:r>
          <w:rPr>
            <w:noProof/>
            <w:webHidden/>
          </w:rPr>
          <w:t>27</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789" w:history="1">
        <w:r>
          <w:rPr>
            <w:rStyle w:val="Lienhypertexte"/>
            <w:b/>
            <w:noProof/>
          </w:rPr>
          <w:t>2.</w:t>
        </w:r>
        <w:r>
          <w:rPr>
            <w:rFonts w:eastAsiaTheme="minorEastAsia" w:cstheme="minorBidi"/>
            <w:smallCaps w:val="0"/>
            <w:noProof/>
            <w:sz w:val="22"/>
            <w:szCs w:val="22"/>
            <w:lang w:eastAsia="fr-BE"/>
          </w:rPr>
          <w:tab/>
        </w:r>
        <w:r>
          <w:rPr>
            <w:rStyle w:val="Lienhypertexte"/>
            <w:b/>
            <w:noProof/>
          </w:rPr>
          <w:t>Directions déconcentrées (AGE – DGPES – SGGPES)</w:t>
        </w:r>
        <w:r>
          <w:rPr>
            <w:noProof/>
            <w:webHidden/>
          </w:rPr>
          <w:tab/>
        </w:r>
        <w:r>
          <w:rPr>
            <w:noProof/>
            <w:webHidden/>
          </w:rPr>
          <w:fldChar w:fldCharType="begin"/>
        </w:r>
        <w:r>
          <w:rPr>
            <w:noProof/>
            <w:webHidden/>
          </w:rPr>
          <w:instrText xml:space="preserve"> PAGEREF _Toc515540789 \h </w:instrText>
        </w:r>
        <w:r>
          <w:rPr>
            <w:noProof/>
            <w:webHidden/>
          </w:rPr>
        </w:r>
        <w:r>
          <w:rPr>
            <w:noProof/>
            <w:webHidden/>
          </w:rPr>
          <w:fldChar w:fldCharType="separate"/>
        </w:r>
        <w:r>
          <w:rPr>
            <w:noProof/>
            <w:webHidden/>
          </w:rPr>
          <w:t>27</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90" w:history="1">
        <w:r>
          <w:rPr>
            <w:rStyle w:val="Lienhypertexte"/>
            <w:noProof/>
          </w:rPr>
          <w:t>ANNEXE 3 – CANDIDATURE DES MAITRES DE PSYCHOMOTRICITÉ ACS/APE</w:t>
        </w:r>
        <w:r>
          <w:rPr>
            <w:noProof/>
            <w:webHidden/>
          </w:rPr>
          <w:tab/>
        </w:r>
        <w:r>
          <w:rPr>
            <w:noProof/>
            <w:webHidden/>
          </w:rPr>
          <w:fldChar w:fldCharType="begin"/>
        </w:r>
        <w:r>
          <w:rPr>
            <w:noProof/>
            <w:webHidden/>
          </w:rPr>
          <w:instrText xml:space="preserve"> PAGEREF _Toc515540790 \h </w:instrText>
        </w:r>
        <w:r>
          <w:rPr>
            <w:noProof/>
            <w:webHidden/>
          </w:rPr>
        </w:r>
        <w:r>
          <w:rPr>
            <w:noProof/>
            <w:webHidden/>
          </w:rPr>
          <w:fldChar w:fldCharType="separate"/>
        </w:r>
        <w:r>
          <w:rPr>
            <w:noProof/>
            <w:webHidden/>
          </w:rPr>
          <w:t>30</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791" w:history="1">
        <w:r>
          <w:rPr>
            <w:rStyle w:val="Lienhypertexte"/>
            <w:noProof/>
          </w:rPr>
          <w:t>ANNEXE 4 – LES TITRES DONNANT ACCÈS À LA FONCTION DE MAÎTRE DE PSYCHOMOTRICITÉ</w:t>
        </w:r>
        <w:r>
          <w:rPr>
            <w:noProof/>
            <w:webHidden/>
          </w:rPr>
          <w:tab/>
        </w:r>
        <w:r>
          <w:rPr>
            <w:noProof/>
            <w:webHidden/>
          </w:rPr>
          <w:fldChar w:fldCharType="begin"/>
        </w:r>
        <w:r>
          <w:rPr>
            <w:noProof/>
            <w:webHidden/>
          </w:rPr>
          <w:instrText xml:space="preserve"> PAGEREF _Toc515540791 \h </w:instrText>
        </w:r>
        <w:r>
          <w:rPr>
            <w:noProof/>
            <w:webHidden/>
          </w:rPr>
        </w:r>
        <w:r>
          <w:rPr>
            <w:noProof/>
            <w:webHidden/>
          </w:rPr>
          <w:fldChar w:fldCharType="separate"/>
        </w:r>
        <w:r>
          <w:rPr>
            <w:noProof/>
            <w:webHidden/>
          </w:rPr>
          <w:t>33</w:t>
        </w:r>
        <w:r>
          <w:rPr>
            <w:noProof/>
            <w:webHidden/>
          </w:rPr>
          <w:fldChar w:fldCharType="end"/>
        </w:r>
      </w:hyperlink>
    </w:p>
    <w:p>
      <w:r>
        <w:fldChar w:fldCharType="end"/>
      </w:r>
    </w:p>
    <w:p>
      <w:r>
        <w:br w:type="page"/>
      </w:r>
    </w:p>
    <w:p>
      <w:pPr>
        <w:pStyle w:val="Titre1"/>
      </w:pPr>
      <w:bookmarkStart w:id="13" w:name="_Toc515540730"/>
      <w:r>
        <w:lastRenderedPageBreak/>
        <w:t>INTRODUCTION</w:t>
      </w:r>
      <w:bookmarkEnd w:id="13"/>
    </w:p>
    <w:p>
      <w:pPr>
        <w:spacing w:after="0" w:line="240" w:lineRule="auto"/>
        <w:jc w:val="both"/>
      </w:pPr>
    </w:p>
    <w:p>
      <w:pPr>
        <w:tabs>
          <w:tab w:val="left" w:pos="6994"/>
        </w:tabs>
        <w:spacing w:after="0" w:line="276" w:lineRule="auto"/>
        <w:jc w:val="both"/>
      </w:pPr>
      <w:r>
        <w:t xml:space="preserve">La présente circulaire a pour objet d’exposer le dispositif mis en œuvre par le décret portant dispositions diverses en matière d’amélioration de l’encadrement de l’enseignement maternel activant la phase 2 de l’objectif stratégique 1.1.a du Pacte pour un enseignement d’excellence relatif à l’amélioration de l’encadrement de l’enseignement maternel ainsi que l’accord sectoriel 2017-2018. Le décret précité a été approuvé par le Parlement lors de sa séance plénière du 30 mai 2018 et est destiné à être mis en œuvre pour la rentrée scolaire de septembre 2018. Il vise notamment à améliorer le statut des maîtres de psychomotricité, qui prestent dans l’enseignement fondamental ordinaire, en rendant organiques tous les postes existants de maîtres de psychomotricité et en instituant un mécanisme spécifique de dévolution de ces emplois. </w:t>
      </w:r>
    </w:p>
    <w:p>
      <w:pPr>
        <w:tabs>
          <w:tab w:val="left" w:pos="6994"/>
        </w:tabs>
        <w:spacing w:after="0" w:line="276" w:lineRule="auto"/>
        <w:jc w:val="both"/>
      </w:pPr>
    </w:p>
    <w:p>
      <w:pPr>
        <w:tabs>
          <w:tab w:val="left" w:pos="6994"/>
        </w:tabs>
        <w:spacing w:after="0" w:line="276" w:lineRule="auto"/>
        <w:jc w:val="both"/>
      </w:pPr>
      <w:r>
        <w:t xml:space="preserve">Dès lors, la présente circulaire instaure une procédure d’appel aux candidats devant être lancée dans les meilleurs délais par les pouvoirs organisateurs auprès des membres du personnel concernés afin de pourvoir les postes organiques nouvellement créés. Les membres du personnel doivent impérativement être informés dans les meilleurs délais afin de répondre à l’appel </w:t>
      </w:r>
      <w:r>
        <w:rPr>
          <w:u w:val="single"/>
        </w:rPr>
        <w:t>pour le 30 juin 2018 au plus tard</w:t>
      </w:r>
      <w:r>
        <w:t>.</w:t>
      </w:r>
    </w:p>
    <w:p>
      <w:pPr>
        <w:tabs>
          <w:tab w:val="left" w:pos="6994"/>
        </w:tabs>
        <w:spacing w:after="0" w:line="240" w:lineRule="auto"/>
        <w:jc w:val="both"/>
      </w:pPr>
      <w:r>
        <w:tab/>
      </w:r>
    </w:p>
    <w:p>
      <w:pPr>
        <w:pStyle w:val="Titre2"/>
        <w:numPr>
          <w:ilvl w:val="0"/>
          <w:numId w:val="6"/>
        </w:numPr>
        <w:jc w:val="both"/>
        <w:rPr>
          <w:sz w:val="22"/>
          <w:szCs w:val="22"/>
        </w:rPr>
      </w:pPr>
      <w:bookmarkStart w:id="14" w:name="_Toc515540731"/>
      <w:r>
        <w:rPr>
          <w:sz w:val="22"/>
          <w:szCs w:val="22"/>
        </w:rPr>
        <w:t>Suppression des emplois ACS/APE dans la fonction de maître de psychomotricité</w:t>
      </w:r>
      <w:bookmarkEnd w:id="14"/>
    </w:p>
    <w:p>
      <w:pPr>
        <w:spacing w:after="0" w:line="276" w:lineRule="auto"/>
        <w:jc w:val="both"/>
      </w:pPr>
      <w:r>
        <w:t>Le décret précité porte la suppression des emplois ACS/APE dans la fonction de maître de psychomotricité et rend organiques tous les postes de maîtres de psychomotricité. Cela implique qu’il ne sera plus possible, au 1</w:t>
      </w:r>
      <w:r>
        <w:rPr>
          <w:vertAlign w:val="superscript"/>
        </w:rPr>
        <w:t>er</w:t>
      </w:r>
      <w:r>
        <w:t xml:space="preserve"> septembre 2018, d’être engagé dans les emplois de maîtres de psychomotricité sous contrat ACS/APE dans l’enseignement ordinaire. Il est, dès lors instauré, une mesure destinée à transformer le cadre existant, composé d’emplois de type « ACS/APE » et d’emplois stables de type « organique », en un nouveau cadre, composé uniquement d’emplois stables de type « organique ».</w:t>
      </w:r>
    </w:p>
    <w:p>
      <w:pPr>
        <w:spacing w:after="0" w:line="240" w:lineRule="auto"/>
        <w:jc w:val="both"/>
      </w:pPr>
    </w:p>
    <w:p>
      <w:pPr>
        <w:pStyle w:val="Titre2"/>
        <w:numPr>
          <w:ilvl w:val="0"/>
          <w:numId w:val="6"/>
        </w:numPr>
        <w:jc w:val="both"/>
        <w:rPr>
          <w:sz w:val="22"/>
          <w:szCs w:val="22"/>
        </w:rPr>
      </w:pPr>
      <w:bookmarkStart w:id="15" w:name="_Toc515540732"/>
      <w:r>
        <w:rPr>
          <w:sz w:val="22"/>
          <w:szCs w:val="22"/>
        </w:rPr>
        <w:t>Mécanisme particulier de dévolution des emplois pour l’année scolaire 2018-2019</w:t>
      </w:r>
      <w:bookmarkEnd w:id="15"/>
    </w:p>
    <w:p>
      <w:pPr>
        <w:spacing w:after="0" w:line="276" w:lineRule="auto"/>
        <w:jc w:val="both"/>
      </w:pPr>
      <w:r>
        <w:rPr>
          <w:rFonts w:cstheme="minorHAnsi"/>
        </w:rPr>
        <w:t>Un mécanisme spécifique de dévolution des emplois est mis en place afin de permettre aux maîtres de psychomotricité ayant exercé sous contrat ACS/APE au cours des cinq dernières années, de relever, au 1</w:t>
      </w:r>
      <w:r>
        <w:rPr>
          <w:rFonts w:cstheme="minorHAnsi"/>
          <w:vertAlign w:val="superscript"/>
        </w:rPr>
        <w:t>er</w:t>
      </w:r>
      <w:r>
        <w:rPr>
          <w:rFonts w:cstheme="minorHAnsi"/>
        </w:rPr>
        <w:t xml:space="preserve"> septembre 2018, du cadre organique. Pour l’attribution des emplois organiques de maître de psychomotricité lors de l’année scolaire 2018-2019, les maîtres de psychomotricité ACS/APE seront néanmoins mis en concurrence avec les membres du personnel qui exercent déjà cette fonction dans le cadre organique. </w:t>
      </w:r>
    </w:p>
    <w:p>
      <w:pPr>
        <w:spacing w:after="0" w:line="276" w:lineRule="auto"/>
        <w:jc w:val="both"/>
      </w:pPr>
      <w:r>
        <w:t>Ce mécanisme particulier de dévolution des emplois et de protection des maîtres de psychomotricité est nécessaire pour atteindre le but poursuivi, à savoir, conserver le personnel ACS/APE en place, dont le Gouvernement souhaite améliorer le statut, tout en rendant organiques les postes qu’ils occupent.</w:t>
      </w:r>
    </w:p>
    <w:p>
      <w:pPr>
        <w:spacing w:after="0" w:line="240" w:lineRule="auto"/>
        <w:jc w:val="both"/>
      </w:pPr>
    </w:p>
    <w:p>
      <w:pPr>
        <w:pStyle w:val="Titre2"/>
        <w:numPr>
          <w:ilvl w:val="0"/>
          <w:numId w:val="6"/>
        </w:numPr>
        <w:rPr>
          <w:sz w:val="22"/>
          <w:szCs w:val="22"/>
        </w:rPr>
      </w:pPr>
      <w:bookmarkStart w:id="16" w:name="_Toc515540733"/>
      <w:r>
        <w:rPr>
          <w:sz w:val="22"/>
          <w:szCs w:val="22"/>
        </w:rPr>
        <w:t>Nouvelle configuration des emplois de maître de psychomotricité</w:t>
      </w:r>
      <w:bookmarkEnd w:id="16"/>
    </w:p>
    <w:p>
      <w:pPr>
        <w:spacing w:after="0" w:line="276" w:lineRule="auto"/>
        <w:jc w:val="both"/>
      </w:pPr>
      <w:r>
        <w:rPr>
          <w:rFonts w:cstheme="minorHAnsi"/>
        </w:rPr>
        <w:t>Dorénavant,</w:t>
      </w:r>
      <w:r>
        <w:t xml:space="preserve"> les postes de maître de psychomotricité seront entièrement affectés, uniquement sous statut organique, sur base du nombre d’élèves régulièrement inscrits dans l’enseignement maternel ordinaire. Grâce à ce nouveau cadre, les mises en disponibilités de membres du personnel définitifs </w:t>
      </w:r>
      <w:r>
        <w:lastRenderedPageBreak/>
        <w:t xml:space="preserve">occasionnées dans le passé par la complexité administrative de la répartition des périodes organiques et ACS/APE ne se produiront plus de par ce fait puisque toutes les périodes disponibles en psychomotricité seront des périodes organiques. </w:t>
      </w:r>
      <w:r>
        <w:rPr>
          <w:u w:val="single"/>
        </w:rPr>
        <w:t>Vu que l’objectif de la réforme est notamment d’éviter les mises en disponibilité, les maîtres de psychomotricité mis en disponibilité dans le passé se verront logiquement attribuer les emplois en premier dans le cadre de la dévolution des emplois</w:t>
      </w:r>
      <w:r>
        <w:t>.</w:t>
      </w:r>
    </w:p>
    <w:p>
      <w:pPr>
        <w:spacing w:after="0" w:line="276" w:lineRule="auto"/>
        <w:jc w:val="both"/>
      </w:pPr>
    </w:p>
    <w:p>
      <w:pPr>
        <w:pStyle w:val="Titre2"/>
        <w:numPr>
          <w:ilvl w:val="0"/>
          <w:numId w:val="6"/>
        </w:numPr>
        <w:rPr>
          <w:sz w:val="22"/>
          <w:szCs w:val="22"/>
        </w:rPr>
      </w:pPr>
      <w:bookmarkStart w:id="17" w:name="_Toc515540734"/>
      <w:r>
        <w:rPr>
          <w:sz w:val="22"/>
          <w:szCs w:val="22"/>
        </w:rPr>
        <w:t>Application limitée dans le temps</w:t>
      </w:r>
      <w:bookmarkEnd w:id="17"/>
      <w:r>
        <w:rPr>
          <w:sz w:val="22"/>
          <w:szCs w:val="22"/>
        </w:rPr>
        <w:t xml:space="preserve"> </w:t>
      </w:r>
    </w:p>
    <w:p>
      <w:pPr>
        <w:spacing w:after="0" w:line="276" w:lineRule="auto"/>
        <w:jc w:val="both"/>
      </w:pPr>
      <w:r>
        <w:t xml:space="preserve">La présente circulaire a pour objet d’informer les pouvoirs organisateurs quant à l’appel à lancer au cours du mois de juin et au mécanisme particulier par lequel seront attribués les emplois de maître de psychomotricité lors de l’année scolaire 2018-2019, à la suite de la suppression des emplois ACS/APE dans la fonction de maître de psychomotricité. </w:t>
      </w:r>
    </w:p>
    <w:p>
      <w:pPr>
        <w:spacing w:after="0" w:line="276" w:lineRule="auto"/>
        <w:jc w:val="both"/>
        <w:rPr>
          <w:rFonts w:eastAsia="Times New Roman" w:cstheme="minorHAnsi"/>
          <w:lang w:eastAsia="fr-FR"/>
        </w:rPr>
      </w:pPr>
    </w:p>
    <w:p>
      <w:pPr>
        <w:spacing w:after="0" w:line="276" w:lineRule="auto"/>
        <w:jc w:val="both"/>
        <w:rPr>
          <w:rFonts w:eastAsia="Times New Roman" w:cstheme="minorHAnsi"/>
          <w:lang w:eastAsia="fr-FR"/>
        </w:rPr>
      </w:pPr>
      <w:r>
        <w:rPr>
          <w:rFonts w:eastAsia="Times New Roman" w:cstheme="minorHAnsi"/>
          <w:lang w:eastAsia="fr-FR"/>
        </w:rPr>
        <w:t xml:space="preserve">J’insiste sur le fait que la procédure particulière instituée par le décret précité est exceptionnelle et directement corrélative à la mesure de suppression des emplois ACS/APE dans la fonction de maître de psychomotricité qu’il établit. Cette procédure a pour ambition de permettre aux membres du personnel concernés de bénéficier d’une transition harmonieuse entre l’exercice de leur fonction sous contrat ACS/APE, et son exercice dans le cadre organique. </w:t>
      </w:r>
      <w:r>
        <w:rPr>
          <w:rFonts w:eastAsia="Times New Roman" w:cstheme="minorHAnsi"/>
          <w:b/>
          <w:lang w:eastAsia="fr-FR"/>
        </w:rPr>
        <w:t>Cette procédure sera, dès lors, uniquement employée en vue de l’attribution des postes de maîtres de psychomotricité lors l’année scolaire 2018-2019</w:t>
      </w:r>
      <w:r>
        <w:rPr>
          <w:rFonts w:eastAsia="Times New Roman" w:cstheme="minorHAnsi"/>
          <w:lang w:eastAsia="fr-FR"/>
        </w:rPr>
        <w:t xml:space="preserve">. Pour les années </w:t>
      </w:r>
      <w:r>
        <w:rPr>
          <w:rFonts w:eastAsia="Times New Roman" w:cstheme="minorHAnsi"/>
          <w:color w:val="000000" w:themeColor="text1"/>
          <w:lang w:eastAsia="fr-FR"/>
        </w:rPr>
        <w:t xml:space="preserve">scolaires suivantes, les emplois seront à nouveau attribués en vertu des règles issues du décret du 6 juin 1994 </w:t>
      </w:r>
      <w:r>
        <w:rPr>
          <w:rFonts w:eastAsia="Times New Roman" w:cstheme="minorHAnsi"/>
          <w:color w:val="000000" w:themeColor="text1"/>
          <w:shd w:val="clear" w:color="auto" w:fill="FFFFFF"/>
          <w:lang w:eastAsia="fr-FR"/>
        </w:rPr>
        <w:t>fixant le statut des membres du personnel subsidiés de l'enseignement officiel subventionné.</w:t>
      </w:r>
      <w:r>
        <w:rPr>
          <w:rFonts w:eastAsia="Times New Roman" w:cstheme="minorHAnsi"/>
          <w:lang w:eastAsia="fr-FR"/>
        </w:rPr>
        <w:t xml:space="preserve"> </w:t>
      </w:r>
      <w:r>
        <w:t>Cependant, les règles particulières contenues dans le décret précité relatives à la valorisation de l’ancienneté des maîtres de psychomotricité ayant fonctionné jusqu’à ce jour sous contrat ACS/APE seront, quant à elles, appliquées durant le reste de leur carrière.</w:t>
      </w:r>
    </w:p>
    <w:p>
      <w:pPr>
        <w:spacing w:after="0" w:line="276" w:lineRule="auto"/>
        <w:jc w:val="both"/>
      </w:pPr>
    </w:p>
    <w:p>
      <w:pPr>
        <w:spacing w:after="0" w:line="276" w:lineRule="auto"/>
        <w:jc w:val="both"/>
      </w:pPr>
      <w:r>
        <w:t xml:space="preserve">Au vu des adaptations aux règles statutaires classiques que prévoit le décret précité, j’insiste tout particulièrement sur la nécessité pour les pouvoirs organisateurs de prendre connaissance des procédures particulières qui sont explicitées dans la présente circulaire, de les appliquer avec la plus grande rigueur, et de lancer l’appel aux candidats dans les meilleurs délais. </w:t>
      </w:r>
    </w:p>
    <w:p>
      <w:pPr>
        <w:spacing w:after="0" w:line="276" w:lineRule="auto"/>
        <w:jc w:val="both"/>
      </w:pPr>
    </w:p>
    <w:p>
      <w:pPr>
        <w:spacing w:after="0" w:line="276" w:lineRule="auto"/>
        <w:jc w:val="both"/>
      </w:pPr>
      <w:r>
        <w:t xml:space="preserve">Cependant consciente des particularités organisationnelles de l’application de telles mesures exceptionnelles bénéfiques pour les membres du personnel et les écoles, je porte à votre attention que j’ai créé une cellule « PUPSY »  chargée </w:t>
      </w:r>
      <w:r>
        <w:rPr>
          <w:u w:val="single"/>
        </w:rPr>
        <w:t>dès le 22 août 2018</w:t>
      </w:r>
      <w:r>
        <w:t xml:space="preserve"> d’accompagner cette réforme. Les membres de mon administration et de mon cabinet y répondront aux questions posées. Cette cellule est accessible à l’adresse mail suivante : </w:t>
      </w:r>
      <w:hyperlink r:id="rId11" w:history="1">
        <w:r>
          <w:rPr>
            <w:rStyle w:val="Lienhypertexte"/>
          </w:rPr>
          <w:t>PUPSY@gov.cfwb.be</w:t>
        </w:r>
      </w:hyperlink>
      <w:r>
        <w:t xml:space="preserve"> </w:t>
      </w:r>
    </w:p>
    <w:p>
      <w:pPr>
        <w:spacing w:after="0" w:line="276" w:lineRule="auto"/>
        <w:jc w:val="both"/>
      </w:pPr>
    </w:p>
    <w:p>
      <w:pPr>
        <w:spacing w:after="0" w:line="276" w:lineRule="auto"/>
        <w:jc w:val="both"/>
      </w:pPr>
      <w:r>
        <w:t xml:space="preserve">Pour leur attention toute particulière à la présente circulaire, je les remercie déjà. </w:t>
      </w:r>
    </w:p>
    <w:p>
      <w:pPr>
        <w:spacing w:after="0" w:line="276" w:lineRule="auto"/>
        <w:jc w:val="both"/>
      </w:pPr>
    </w:p>
    <w:p>
      <w:pPr>
        <w:spacing w:after="0" w:line="276" w:lineRule="auto"/>
        <w:jc w:val="both"/>
      </w:pPr>
    </w:p>
    <w:p>
      <w:pPr>
        <w:spacing w:after="0" w:line="276" w:lineRule="auto"/>
        <w:jc w:val="both"/>
      </w:pPr>
    </w:p>
    <w:p>
      <w:pPr>
        <w:spacing w:after="0" w:line="276" w:lineRule="auto"/>
        <w:jc w:val="both"/>
        <w:rPr>
          <w:sz w:val="20"/>
        </w:rPr>
      </w:pPr>
    </w:p>
    <w:p>
      <w:pPr>
        <w:spacing w:line="276" w:lineRule="auto"/>
        <w:ind w:left="5670"/>
        <w:jc w:val="both"/>
        <w:rPr>
          <w:b/>
        </w:rPr>
      </w:pPr>
      <w:r>
        <w:rPr>
          <w:b/>
        </w:rPr>
        <w:t>La Ministre,</w:t>
      </w:r>
    </w:p>
    <w:p>
      <w:pPr>
        <w:spacing w:line="276" w:lineRule="auto"/>
        <w:ind w:left="5670"/>
        <w:jc w:val="both"/>
        <w:rPr>
          <w:b/>
        </w:rPr>
      </w:pPr>
      <w:r>
        <w:rPr>
          <w:b/>
        </w:rPr>
        <w:t xml:space="preserve"> </w:t>
      </w:r>
    </w:p>
    <w:p>
      <w:pPr>
        <w:spacing w:line="276" w:lineRule="auto"/>
        <w:ind w:left="5670"/>
        <w:jc w:val="both"/>
        <w:rPr>
          <w:b/>
        </w:rPr>
      </w:pPr>
      <w:r>
        <w:rPr>
          <w:b/>
        </w:rPr>
        <w:t>Marie-Martine SCHYNS</w:t>
      </w:r>
    </w:p>
    <w:p>
      <w:pPr>
        <w:pStyle w:val="Titre1"/>
      </w:pPr>
      <w:bookmarkStart w:id="18" w:name="_Toc515540735"/>
      <w:r>
        <w:lastRenderedPageBreak/>
        <w:t>CHAPITRE Ier – CALCUL DU CADRE D’EMPLOIS DES MAÎTRES DE PSYCHOMOTRICITÉ</w:t>
      </w:r>
      <w:bookmarkEnd w:id="18"/>
    </w:p>
    <w:p>
      <w:pPr>
        <w:spacing w:after="0"/>
        <w:jc w:val="both"/>
        <w:rPr>
          <w:b/>
          <w:sz w:val="20"/>
          <w:szCs w:val="20"/>
        </w:rPr>
      </w:pPr>
    </w:p>
    <w:p>
      <w:pPr>
        <w:pStyle w:val="Titre2"/>
      </w:pPr>
      <w:bookmarkStart w:id="19" w:name="_Toc515540736"/>
      <w:r>
        <w:t>Règle de calcul</w:t>
      </w:r>
      <w:bookmarkEnd w:id="19"/>
    </w:p>
    <w:p>
      <w:pPr>
        <w:pStyle w:val="Sansinterligne"/>
      </w:pPr>
    </w:p>
    <w:p>
      <w:pPr>
        <w:spacing w:after="0"/>
        <w:jc w:val="both"/>
      </w:pPr>
      <w:r>
        <w:t xml:space="preserve">Les activités de psychomotricité sont assurées par un maître de psychomotricité. L'organisation d'activités de psychomotricité est obligatoire dans l’enseignement maternel. Un encadrement spécifique est octroyé à cet effet. Chaque implantation maternelle bénéficie de 2 périodes de psychomotricité par emploi </w:t>
      </w:r>
      <w:r>
        <w:rPr>
          <w:b/>
        </w:rPr>
        <w:t xml:space="preserve">entier </w:t>
      </w:r>
      <w:r>
        <w:t>d’instituteur maternel.</w:t>
      </w:r>
    </w:p>
    <w:p>
      <w:pPr>
        <w:spacing w:after="0"/>
        <w:contextualSpacing/>
        <w:jc w:val="both"/>
        <w:rPr>
          <w:i/>
        </w:rPr>
      </w:pPr>
    </w:p>
    <w:p>
      <w:pPr>
        <w:spacing w:after="0"/>
        <w:contextualSpacing/>
        <w:jc w:val="both"/>
        <w:rPr>
          <w:i/>
        </w:rPr>
      </w:pPr>
      <w:r>
        <w:rPr>
          <w:i/>
        </w:rPr>
        <w:t>Exemples :</w:t>
      </w:r>
    </w:p>
    <w:p>
      <w:pPr>
        <w:spacing w:after="0"/>
        <w:contextualSpacing/>
        <w:jc w:val="both"/>
        <w:rPr>
          <w:i/>
        </w:rPr>
      </w:pPr>
      <w:r>
        <w:rPr>
          <w:i/>
        </w:rPr>
        <w:t>5 emplois d’instituteur maternel → 10 périodes de psychomotricité</w:t>
      </w:r>
    </w:p>
    <w:p>
      <w:pPr>
        <w:spacing w:after="0"/>
        <w:jc w:val="both"/>
        <w:rPr>
          <w:i/>
        </w:rPr>
      </w:pPr>
      <w:r>
        <w:rPr>
          <w:i/>
        </w:rPr>
        <w:t>5,5 emplois d’instituteur maternel →10 périodes de psychomotricité</w:t>
      </w:r>
    </w:p>
    <w:p>
      <w:pPr>
        <w:spacing w:after="0"/>
        <w:jc w:val="both"/>
        <w:rPr>
          <w:sz w:val="20"/>
          <w:szCs w:val="20"/>
        </w:rPr>
      </w:pPr>
    </w:p>
    <w:p>
      <w:pPr>
        <w:spacing w:after="0"/>
        <w:jc w:val="both"/>
        <w:rPr>
          <w:b/>
          <w:sz w:val="20"/>
          <w:szCs w:val="20"/>
        </w:rPr>
      </w:pPr>
    </w:p>
    <w:p>
      <w:pPr>
        <w:pStyle w:val="Titre2"/>
      </w:pPr>
      <w:bookmarkStart w:id="20" w:name="_Toc515540737"/>
      <w:r>
        <w:t>Calcul du nombre d’emplois d’instituteur maternel</w:t>
      </w:r>
      <w:bookmarkEnd w:id="20"/>
    </w:p>
    <w:p>
      <w:pPr>
        <w:pStyle w:val="Sansinterligne"/>
      </w:pPr>
    </w:p>
    <w:p>
      <w:pPr>
        <w:spacing w:after="0"/>
        <w:jc w:val="both"/>
        <w:rPr>
          <w:szCs w:val="20"/>
        </w:rPr>
      </w:pPr>
      <w:r>
        <w:rPr>
          <w:szCs w:val="20"/>
        </w:rPr>
        <w:t>Le nombre d’emplois d’instituteur maternel de chaque implantation est déterminé conformément au tableau des normes suivant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1441"/>
      </w:tblGrid>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b/>
                <w:sz w:val="20"/>
                <w:szCs w:val="20"/>
                <w:lang w:val="fr-FR" w:eastAsia="fr-FR"/>
              </w:rPr>
            </w:pPr>
            <w:r>
              <w:rPr>
                <w:rFonts w:eastAsia="Times New Roman" w:cstheme="minorHAnsi"/>
                <w:b/>
                <w:sz w:val="20"/>
                <w:szCs w:val="20"/>
                <w:lang w:val="fr-FR" w:eastAsia="fr-FR"/>
              </w:rPr>
              <w:t>Élèves</w:t>
            </w:r>
          </w:p>
        </w:tc>
        <w:tc>
          <w:tcPr>
            <w:tcW w:w="1441" w:type="dxa"/>
            <w:vAlign w:val="center"/>
          </w:tcPr>
          <w:p>
            <w:pPr>
              <w:autoSpaceDE w:val="0"/>
              <w:autoSpaceDN w:val="0"/>
              <w:adjustRightInd w:val="0"/>
              <w:spacing w:after="0" w:line="240" w:lineRule="auto"/>
              <w:jc w:val="center"/>
              <w:rPr>
                <w:rFonts w:eastAsia="Times New Roman" w:cstheme="minorHAnsi"/>
                <w:b/>
                <w:sz w:val="20"/>
                <w:szCs w:val="20"/>
                <w:lang w:val="fr-FR" w:eastAsia="fr-FR"/>
              </w:rPr>
            </w:pPr>
            <w:r>
              <w:rPr>
                <w:rFonts w:eastAsia="Times New Roman" w:cstheme="minorHAnsi"/>
                <w:b/>
                <w:sz w:val="20"/>
                <w:szCs w:val="20"/>
                <w:lang w:val="fr-FR" w:eastAsia="fr-FR"/>
              </w:rPr>
              <w:t>Emplois</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6 – 19</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1</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20 – 25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1,5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26 – 35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36 – 45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46 – 61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62 – 71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72 – 81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4</w:t>
            </w:r>
          </w:p>
        </w:tc>
      </w:tr>
    </w:tbl>
    <w:p>
      <w:pPr>
        <w:spacing w:after="0" w:line="240" w:lineRule="auto"/>
        <w:rPr>
          <w:rFonts w:eastAsia="Times New Roman" w:cstheme="minorHAnsi"/>
          <w:i/>
          <w:sz w:val="20"/>
          <w:szCs w:val="20"/>
          <w:lang w:val="fr-FR" w:eastAsia="fr-FR"/>
        </w:rPr>
      </w:pPr>
      <w:bookmarkStart w:id="21" w:name="_3.3.2._Direction_d'école"/>
      <w:bookmarkStart w:id="22" w:name="_3.3.2._Direction_d'école_1"/>
      <w:bookmarkEnd w:id="21"/>
      <w:bookmarkEnd w:id="22"/>
      <w:r>
        <w:rPr>
          <w:rFonts w:eastAsia="Times New Roman" w:cstheme="minorHAnsi"/>
          <w:sz w:val="20"/>
          <w:szCs w:val="20"/>
          <w:lang w:val="fr-FR" w:eastAsia="fr-FR"/>
        </w:rPr>
        <w:tab/>
      </w:r>
      <w:r>
        <w:rPr>
          <w:rFonts w:eastAsia="Times New Roman" w:cstheme="minorHAnsi"/>
          <w:sz w:val="20"/>
          <w:szCs w:val="20"/>
          <w:lang w:val="fr-FR" w:eastAsia="fr-FR"/>
        </w:rPr>
        <w:tab/>
        <w:t xml:space="preserve">     </w:t>
      </w:r>
      <w:r>
        <w:rPr>
          <w:rFonts w:eastAsia="Times New Roman" w:cstheme="minorHAnsi"/>
          <w:i/>
          <w:sz w:val="20"/>
          <w:szCs w:val="20"/>
          <w:lang w:val="fr-FR" w:eastAsia="fr-FR"/>
        </w:rPr>
        <w:t>Et ainsi de suite par tranche de 10 élèves</w:t>
      </w:r>
    </w:p>
    <w:p>
      <w:pPr>
        <w:spacing w:after="0" w:line="240" w:lineRule="auto"/>
        <w:rPr>
          <w:rFonts w:ascii="Arial" w:eastAsia="Times New Roman" w:hAnsi="Arial" w:cs="Times New Roman"/>
          <w:i/>
          <w:sz w:val="20"/>
          <w:szCs w:val="20"/>
          <w:lang w:val="fr-FR" w:eastAsia="fr-FR"/>
        </w:rPr>
      </w:pPr>
    </w:p>
    <w:p>
      <w:pPr>
        <w:spacing w:after="0" w:line="240" w:lineRule="auto"/>
        <w:jc w:val="both"/>
        <w:rPr>
          <w:rFonts w:eastAsia="Times New Roman" w:cstheme="minorHAnsi"/>
          <w:szCs w:val="20"/>
          <w:lang w:val="fr-FR" w:eastAsia="fr-FR"/>
        </w:rPr>
      </w:pPr>
      <w:r>
        <w:rPr>
          <w:rFonts w:eastAsia="Times New Roman" w:cstheme="minorHAnsi"/>
          <w:szCs w:val="20"/>
          <w:lang w:val="fr-FR" w:eastAsia="fr-FR"/>
        </w:rPr>
        <w:t>L’encadrement est calculé le 1</w:t>
      </w:r>
      <w:r>
        <w:rPr>
          <w:rFonts w:eastAsia="Times New Roman" w:cstheme="minorHAnsi"/>
          <w:szCs w:val="20"/>
          <w:vertAlign w:val="superscript"/>
          <w:lang w:val="fr-FR" w:eastAsia="fr-FR"/>
        </w:rPr>
        <w:t>er</w:t>
      </w:r>
      <w:r>
        <w:rPr>
          <w:rFonts w:eastAsia="Times New Roman" w:cstheme="minorHAnsi"/>
          <w:szCs w:val="20"/>
          <w:lang w:val="fr-FR" w:eastAsia="fr-FR"/>
        </w:rPr>
        <w:t xml:space="preserve"> octobre, sur base de la population scolaire du 30 septembre, et couvre la période allant du 1</w:t>
      </w:r>
      <w:r>
        <w:rPr>
          <w:rFonts w:eastAsia="Times New Roman" w:cstheme="minorHAnsi"/>
          <w:szCs w:val="20"/>
          <w:vertAlign w:val="superscript"/>
          <w:lang w:val="fr-FR" w:eastAsia="fr-FR"/>
        </w:rPr>
        <w:t>er</w:t>
      </w:r>
      <w:r>
        <w:rPr>
          <w:rFonts w:eastAsia="Times New Roman" w:cstheme="minorHAnsi"/>
          <w:szCs w:val="20"/>
          <w:lang w:val="fr-FR" w:eastAsia="fr-FR"/>
        </w:rPr>
        <w:t xml:space="preserve"> octobre au 30 septembre suivant.</w:t>
      </w:r>
    </w:p>
    <w:p>
      <w:pPr>
        <w:spacing w:after="0" w:line="240" w:lineRule="auto"/>
        <w:jc w:val="both"/>
        <w:rPr>
          <w:rFonts w:eastAsia="Times New Roman" w:cstheme="minorHAnsi"/>
          <w:sz w:val="20"/>
          <w:szCs w:val="20"/>
          <w:lang w:val="fr-FR" w:eastAsia="fr-FR"/>
        </w:rPr>
      </w:pPr>
    </w:p>
    <w:p>
      <w:pPr>
        <w:pStyle w:val="Titre2"/>
        <w:rPr>
          <w:lang w:val="fr-FR" w:eastAsia="fr-FR"/>
        </w:rPr>
      </w:pPr>
      <w:bookmarkStart w:id="23" w:name="_Toc515540738"/>
      <w:r>
        <w:rPr>
          <w:lang w:val="fr-FR" w:eastAsia="fr-FR"/>
        </w:rPr>
        <w:t xml:space="preserve">L’application </w:t>
      </w:r>
      <w:proofErr w:type="spellStart"/>
      <w:r>
        <w:rPr>
          <w:lang w:val="fr-FR" w:eastAsia="fr-FR"/>
        </w:rPr>
        <w:t>Primver</w:t>
      </w:r>
      <w:bookmarkEnd w:id="23"/>
      <w:proofErr w:type="spellEnd"/>
    </w:p>
    <w:p>
      <w:pPr>
        <w:pStyle w:val="Sansinterligne"/>
        <w:rPr>
          <w:lang w:val="fr-FR" w:eastAsia="fr-FR"/>
        </w:rPr>
      </w:pPr>
    </w:p>
    <w:p>
      <w:pPr>
        <w:spacing w:after="0" w:line="240" w:lineRule="auto"/>
        <w:jc w:val="both"/>
        <w:rPr>
          <w:rFonts w:eastAsia="Times New Roman" w:cstheme="minorHAnsi"/>
          <w:lang w:val="fr-FR" w:eastAsia="fr-FR"/>
        </w:rPr>
      </w:pPr>
      <w:r>
        <w:rPr>
          <w:rFonts w:eastAsia="Times New Roman" w:cstheme="minorHAnsi"/>
          <w:lang w:val="fr-FR" w:eastAsia="fr-FR"/>
        </w:rPr>
        <w:t xml:space="preserve">Les informations relatives au calcul du cadre d’emplois des instituteurs maternels et des maîtres de psychomotricité se trouvent sur l’application informatique </w:t>
      </w:r>
      <w:proofErr w:type="spellStart"/>
      <w:r>
        <w:rPr>
          <w:rFonts w:eastAsia="Times New Roman" w:cstheme="minorHAnsi"/>
          <w:lang w:val="fr-FR" w:eastAsia="fr-FR"/>
        </w:rPr>
        <w:t>Primver</w:t>
      </w:r>
      <w:proofErr w:type="spellEnd"/>
      <w:r>
        <w:rPr>
          <w:rFonts w:eastAsia="Times New Roman" w:cstheme="minorHAnsi"/>
          <w:lang w:val="fr-FR" w:eastAsia="fr-FR"/>
        </w:rPr>
        <w:t>, dans les dossiers « encadrement 01/09 » et « encadrement 01/10 ».</w:t>
      </w:r>
      <w:r>
        <w:t xml:space="preserve"> </w:t>
      </w:r>
      <w:r>
        <w:rPr>
          <w:rFonts w:eastAsia="Times New Roman" w:cstheme="minorHAnsi"/>
          <w:lang w:val="fr-FR" w:eastAsia="fr-FR"/>
        </w:rPr>
        <w:t>Ces informations sont déjà disponibles.</w:t>
      </w:r>
    </w:p>
    <w:p>
      <w:pPr>
        <w:spacing w:after="0" w:line="240" w:lineRule="auto"/>
        <w:jc w:val="both"/>
        <w:rPr>
          <w:rFonts w:eastAsia="Times New Roman" w:cstheme="minorHAnsi"/>
          <w:lang w:val="fr-FR" w:eastAsia="fr-FR"/>
        </w:rPr>
      </w:pPr>
    </w:p>
    <w:p>
      <w:pPr>
        <w:spacing w:after="0" w:line="240" w:lineRule="auto"/>
        <w:jc w:val="both"/>
        <w:rPr>
          <w:rFonts w:eastAsia="Times New Roman" w:cstheme="minorHAnsi"/>
          <w:i/>
          <w:lang w:val="fr-FR" w:eastAsia="fr-FR"/>
        </w:rPr>
      </w:pPr>
      <w:r>
        <w:rPr>
          <w:rFonts w:eastAsia="Times New Roman" w:cstheme="minorHAnsi"/>
          <w:i/>
          <w:lang w:val="fr-FR" w:eastAsia="fr-FR"/>
        </w:rPr>
        <w:t>Exemple :</w:t>
      </w:r>
    </w:p>
    <w:p>
      <w:pPr>
        <w:spacing w:after="0" w:line="240" w:lineRule="auto"/>
        <w:jc w:val="both"/>
        <w:rPr>
          <w:rFonts w:eastAsia="Times New Roman" w:cstheme="minorHAnsi"/>
          <w:i/>
          <w:lang w:val="fr-FR" w:eastAsia="fr-FR"/>
        </w:rPr>
      </w:pPr>
      <w:r>
        <w:rPr>
          <w:rFonts w:eastAsia="Times New Roman" w:cstheme="minorHAnsi"/>
          <w:i/>
          <w:lang w:val="fr-FR" w:eastAsia="fr-FR"/>
        </w:rPr>
        <w:t>Une école maternelle comprend deux implantations, l’implantation A et l’implantation B.</w:t>
      </w:r>
    </w:p>
    <w:p>
      <w:pPr>
        <w:spacing w:after="0" w:line="240" w:lineRule="auto"/>
        <w:jc w:val="both"/>
        <w:rPr>
          <w:rFonts w:eastAsia="Times New Roman" w:cstheme="minorHAnsi"/>
          <w:i/>
          <w:lang w:val="fr-FR" w:eastAsia="fr-FR"/>
        </w:rPr>
      </w:pPr>
    </w:p>
    <w:p>
      <w:pPr>
        <w:pStyle w:val="Paragraphedeliste"/>
        <w:numPr>
          <w:ilvl w:val="0"/>
          <w:numId w:val="27"/>
        </w:numPr>
        <w:spacing w:after="0" w:line="240" w:lineRule="auto"/>
        <w:jc w:val="both"/>
        <w:rPr>
          <w:rFonts w:eastAsia="Times New Roman" w:cstheme="minorHAnsi"/>
          <w:i/>
          <w:lang w:val="fr-FR" w:eastAsia="fr-FR"/>
        </w:rPr>
      </w:pPr>
      <w:r>
        <w:rPr>
          <w:rFonts w:eastAsia="Times New Roman" w:cstheme="minorHAnsi"/>
          <w:i/>
          <w:lang w:val="fr-FR" w:eastAsia="fr-FR"/>
        </w:rPr>
        <w:t>Situation au 1</w:t>
      </w:r>
      <w:r>
        <w:rPr>
          <w:rFonts w:eastAsia="Times New Roman" w:cstheme="minorHAnsi"/>
          <w:i/>
          <w:vertAlign w:val="superscript"/>
          <w:lang w:val="fr-FR" w:eastAsia="fr-FR"/>
        </w:rPr>
        <w:t>er</w:t>
      </w:r>
      <w:r>
        <w:rPr>
          <w:rFonts w:eastAsia="Times New Roman" w:cstheme="minorHAnsi"/>
          <w:i/>
          <w:lang w:val="fr-FR" w:eastAsia="fr-FR"/>
        </w:rPr>
        <w:t xml:space="preserve"> octobre 2017</w:t>
      </w:r>
    </w:p>
    <w:p>
      <w:pPr>
        <w:spacing w:after="0" w:line="240" w:lineRule="auto"/>
        <w:ind w:left="709"/>
        <w:jc w:val="both"/>
        <w:rPr>
          <w:rFonts w:eastAsia="Times New Roman" w:cstheme="minorHAnsi"/>
          <w:i/>
          <w:lang w:val="fr-FR" w:eastAsia="fr-FR"/>
        </w:rPr>
      </w:pPr>
      <w:r>
        <w:rPr>
          <w:rFonts w:eastAsia="Times New Roman" w:cstheme="minorHAnsi"/>
          <w:i/>
          <w:lang w:val="fr-FR" w:eastAsia="fr-FR"/>
        </w:rPr>
        <w:t>Le dossier encadrement 01/10/17 indique que l’implantation A comptait 40 élèves « encadrement » lors du comptage du 30/09/17, générant ainsi 2,5 emplois d’instituteur maternel du 01/10/17 au 30/09/18. Le nombre de périodes destinées aux cours de psychomotricité est donc de 4 (3 organiques, et 1 ACS/APE).</w:t>
      </w:r>
    </w:p>
    <w:p>
      <w:pPr>
        <w:spacing w:after="0" w:line="240" w:lineRule="auto"/>
        <w:jc w:val="both"/>
        <w:rPr>
          <w:rFonts w:eastAsia="Times New Roman" w:cstheme="minorHAnsi"/>
          <w:i/>
          <w:lang w:val="fr-FR" w:eastAsia="fr-FR"/>
        </w:rPr>
      </w:pPr>
    </w:p>
    <w:p>
      <w:pPr>
        <w:pStyle w:val="Paragraphedeliste"/>
        <w:numPr>
          <w:ilvl w:val="0"/>
          <w:numId w:val="27"/>
        </w:numPr>
        <w:spacing w:after="0" w:line="240" w:lineRule="auto"/>
        <w:jc w:val="both"/>
        <w:rPr>
          <w:rFonts w:eastAsia="Times New Roman" w:cstheme="minorHAnsi"/>
          <w:i/>
          <w:lang w:val="fr-FR" w:eastAsia="fr-FR"/>
        </w:rPr>
      </w:pPr>
      <w:r>
        <w:rPr>
          <w:rFonts w:eastAsia="Times New Roman" w:cstheme="minorHAnsi"/>
          <w:i/>
          <w:lang w:val="fr-FR" w:eastAsia="fr-FR"/>
        </w:rPr>
        <w:t>Situation au 1</w:t>
      </w:r>
      <w:r>
        <w:rPr>
          <w:rFonts w:eastAsia="Times New Roman" w:cstheme="minorHAnsi"/>
          <w:i/>
          <w:vertAlign w:val="superscript"/>
          <w:lang w:val="fr-FR" w:eastAsia="fr-FR"/>
        </w:rPr>
        <w:t>er</w:t>
      </w:r>
      <w:r>
        <w:rPr>
          <w:rFonts w:eastAsia="Times New Roman" w:cstheme="minorHAnsi"/>
          <w:i/>
          <w:lang w:val="fr-FR" w:eastAsia="fr-FR"/>
        </w:rPr>
        <w:t xml:space="preserve"> septembre 2018</w:t>
      </w:r>
    </w:p>
    <w:p>
      <w:pPr>
        <w:spacing w:after="0" w:line="240" w:lineRule="auto"/>
        <w:ind w:left="709"/>
        <w:jc w:val="both"/>
        <w:rPr>
          <w:rFonts w:eastAsia="Times New Roman" w:cstheme="minorHAnsi"/>
          <w:i/>
          <w:lang w:val="fr-FR" w:eastAsia="fr-FR"/>
        </w:rPr>
      </w:pPr>
      <w:r>
        <w:rPr>
          <w:rFonts w:eastAsia="Times New Roman" w:cstheme="minorHAnsi"/>
          <w:i/>
          <w:lang w:val="fr-FR" w:eastAsia="fr-FR"/>
        </w:rPr>
        <w:lastRenderedPageBreak/>
        <w:t xml:space="preserve">Le calcul de l’encadrement au 01/09/18 s’opère sur base des populations au 30/09/17. Le dossier encadrement 01/09/18 indique que l’implantation A bénéficie toujours de 2,5 emplois d’instituteur maternel et 4 périodes de psychomotricité. Conformément aux nouvelles dispositions, ces 4 périodes de psychomotricité sont </w:t>
      </w:r>
      <w:r>
        <w:rPr>
          <w:rFonts w:eastAsia="Times New Roman" w:cstheme="minorHAnsi"/>
          <w:b/>
          <w:i/>
          <w:lang w:val="fr-FR" w:eastAsia="fr-FR"/>
        </w:rPr>
        <w:t>toutes organiques.</w:t>
      </w:r>
    </w:p>
    <w:p>
      <w:pPr>
        <w:spacing w:after="0" w:line="240" w:lineRule="auto"/>
        <w:jc w:val="both"/>
        <w:rPr>
          <w:rFonts w:eastAsia="Times New Roman" w:cstheme="minorHAnsi"/>
          <w:i/>
          <w:lang w:val="fr-FR" w:eastAsia="fr-FR"/>
        </w:rPr>
      </w:pPr>
    </w:p>
    <w:p>
      <w:pPr>
        <w:pStyle w:val="Paragraphedeliste"/>
        <w:numPr>
          <w:ilvl w:val="0"/>
          <w:numId w:val="27"/>
        </w:numPr>
        <w:spacing w:after="0" w:line="240" w:lineRule="auto"/>
        <w:jc w:val="both"/>
        <w:rPr>
          <w:rFonts w:eastAsia="Times New Roman" w:cstheme="minorHAnsi"/>
          <w:i/>
          <w:lang w:val="fr-FR" w:eastAsia="fr-FR"/>
        </w:rPr>
      </w:pPr>
      <w:r>
        <w:rPr>
          <w:rFonts w:eastAsia="Times New Roman" w:cstheme="minorHAnsi"/>
          <w:i/>
          <w:lang w:val="fr-FR" w:eastAsia="fr-FR"/>
        </w:rPr>
        <w:t>Situation au 1</w:t>
      </w:r>
      <w:r>
        <w:rPr>
          <w:rFonts w:eastAsia="Times New Roman" w:cstheme="minorHAnsi"/>
          <w:i/>
          <w:vertAlign w:val="superscript"/>
          <w:lang w:val="fr-FR" w:eastAsia="fr-FR"/>
        </w:rPr>
        <w:t>er</w:t>
      </w:r>
      <w:r>
        <w:rPr>
          <w:rFonts w:eastAsia="Times New Roman" w:cstheme="minorHAnsi"/>
          <w:i/>
          <w:lang w:val="fr-FR" w:eastAsia="fr-FR"/>
        </w:rPr>
        <w:t xml:space="preserve"> octobre 2018 (ajustement à la hausse ou à la baisse)</w:t>
      </w:r>
    </w:p>
    <w:p>
      <w:pPr>
        <w:pStyle w:val="Paragraphedeliste"/>
        <w:numPr>
          <w:ilvl w:val="0"/>
          <w:numId w:val="28"/>
        </w:numPr>
        <w:spacing w:after="0" w:line="240" w:lineRule="auto"/>
        <w:jc w:val="both"/>
        <w:rPr>
          <w:rFonts w:eastAsia="Times New Roman" w:cstheme="minorHAnsi"/>
          <w:i/>
          <w:lang w:val="fr-FR" w:eastAsia="fr-FR"/>
        </w:rPr>
      </w:pPr>
      <w:r>
        <w:rPr>
          <w:rFonts w:eastAsia="Times New Roman" w:cstheme="minorHAnsi"/>
          <w:i/>
          <w:lang w:val="fr-FR" w:eastAsia="fr-FR"/>
        </w:rPr>
        <w:t>Ajustement à la hausse : Le dossier encadrement 01/10/18 indique que suite au comptage du 30/09/18, l’implantation A compte désormais 50 élèves « encadrement », générant 3 emplois d’instituteur maternel. En conséquence, le nombre de périodes de psychomotricité est de 6 (toutes organiques).</w:t>
      </w:r>
    </w:p>
    <w:p>
      <w:pPr>
        <w:spacing w:after="0" w:line="240" w:lineRule="auto"/>
        <w:jc w:val="both"/>
        <w:rPr>
          <w:rFonts w:eastAsia="Times New Roman" w:cstheme="minorHAnsi"/>
          <w:i/>
          <w:lang w:val="fr-FR" w:eastAsia="fr-FR"/>
        </w:rPr>
      </w:pPr>
    </w:p>
    <w:p>
      <w:pPr>
        <w:pStyle w:val="Paragraphedeliste"/>
        <w:numPr>
          <w:ilvl w:val="0"/>
          <w:numId w:val="28"/>
        </w:numPr>
        <w:spacing w:after="0" w:line="240" w:lineRule="auto"/>
        <w:jc w:val="both"/>
        <w:rPr>
          <w:rFonts w:eastAsia="Times New Roman" w:cstheme="minorHAnsi"/>
          <w:i/>
          <w:lang w:val="fr-FR" w:eastAsia="fr-FR"/>
        </w:rPr>
      </w:pPr>
      <w:r>
        <w:rPr>
          <w:rFonts w:eastAsia="Times New Roman" w:cstheme="minorHAnsi"/>
          <w:i/>
          <w:lang w:val="fr-FR" w:eastAsia="fr-FR"/>
        </w:rPr>
        <w:t>Ajustement à la baisse : Le dossier encadrement 01/10/18 indique que suite au comptage du 30/09/18, l’implantation A compte désormais 25 élèves « encadrement », générant 1,5 emplois d’instituteur maternel. En conséquence, le nombre de périodes de psychomotricité est de 2 (toutes organiques).</w:t>
      </w:r>
    </w:p>
    <w:p>
      <w:pPr>
        <w:spacing w:after="0" w:line="240" w:lineRule="auto"/>
        <w:jc w:val="both"/>
        <w:rPr>
          <w:rFonts w:eastAsia="Times New Roman" w:cstheme="minorHAnsi"/>
          <w:i/>
          <w:sz w:val="20"/>
          <w:szCs w:val="20"/>
          <w:lang w:val="fr-FR" w:eastAsia="fr-FR"/>
        </w:rPr>
      </w:pPr>
    </w:p>
    <w:p>
      <w:pPr>
        <w:pStyle w:val="Titre2"/>
        <w:rPr>
          <w:lang w:val="fr-FR" w:eastAsia="fr-FR"/>
        </w:rPr>
      </w:pPr>
      <w:bookmarkStart w:id="24" w:name="_Toc515540739"/>
      <w:r>
        <w:rPr>
          <w:lang w:val="fr-FR" w:eastAsia="fr-FR"/>
        </w:rPr>
        <w:t>Augmentation de cadre en cours d’année scolaire</w:t>
      </w:r>
      <w:bookmarkEnd w:id="24"/>
    </w:p>
    <w:p>
      <w:pPr>
        <w:pStyle w:val="Sansinterligne"/>
        <w:rPr>
          <w:lang w:val="fr-FR" w:eastAsia="fr-FR"/>
        </w:rPr>
      </w:pPr>
    </w:p>
    <w:p>
      <w:pPr>
        <w:spacing w:after="0"/>
        <w:jc w:val="both"/>
        <w:rPr>
          <w:rFonts w:eastAsia="Times New Roman" w:cstheme="minorHAnsi"/>
          <w:b/>
          <w:szCs w:val="20"/>
          <w:lang w:val="fr-FR" w:eastAsia="fr-FR"/>
        </w:rPr>
      </w:pPr>
      <w:r>
        <w:rPr>
          <w:rFonts w:eastAsia="Times New Roman" w:cstheme="minorHAnsi"/>
          <w:szCs w:val="20"/>
          <w:lang w:val="fr-FR" w:eastAsia="fr-FR"/>
        </w:rPr>
        <w:t>Pour l’année scolaire 2018-2019, le nombre d’emplois peut être revu à la hausse si l’implantation connait une augmentation de population permettant d’atteindre une norme d’emploi supérieure (voir tableau susmentionné), aux quatre dates suivantes :</w:t>
      </w:r>
    </w:p>
    <w:p>
      <w:pPr>
        <w:pStyle w:val="Paragraphedeliste"/>
        <w:numPr>
          <w:ilvl w:val="0"/>
          <w:numId w:val="26"/>
        </w:numPr>
        <w:spacing w:after="0" w:line="240" w:lineRule="auto"/>
        <w:jc w:val="both"/>
        <w:rPr>
          <w:rFonts w:eastAsia="Times New Roman" w:cstheme="minorHAnsi"/>
          <w:szCs w:val="20"/>
          <w:lang w:val="fr-FR" w:eastAsia="fr-FR"/>
        </w:rPr>
      </w:pPr>
      <w:r>
        <w:rPr>
          <w:rFonts w:eastAsia="Times New Roman" w:cstheme="minorHAnsi"/>
          <w:szCs w:val="20"/>
          <w:lang w:val="fr-FR" w:eastAsia="fr-FR"/>
        </w:rPr>
        <w:t>19/11/18</w:t>
      </w:r>
    </w:p>
    <w:p>
      <w:pPr>
        <w:pStyle w:val="Paragraphedeliste"/>
        <w:numPr>
          <w:ilvl w:val="0"/>
          <w:numId w:val="26"/>
        </w:numPr>
        <w:spacing w:after="0" w:line="240" w:lineRule="auto"/>
        <w:jc w:val="both"/>
        <w:rPr>
          <w:rFonts w:eastAsia="Times New Roman" w:cstheme="minorHAnsi"/>
          <w:szCs w:val="20"/>
          <w:lang w:val="fr-FR" w:eastAsia="fr-FR"/>
        </w:rPr>
      </w:pPr>
      <w:r>
        <w:rPr>
          <w:rFonts w:eastAsia="Times New Roman" w:cstheme="minorHAnsi"/>
          <w:szCs w:val="20"/>
          <w:lang w:val="fr-FR" w:eastAsia="fr-FR"/>
        </w:rPr>
        <w:t>21/01/19</w:t>
      </w:r>
    </w:p>
    <w:p>
      <w:pPr>
        <w:pStyle w:val="Paragraphedeliste"/>
        <w:numPr>
          <w:ilvl w:val="0"/>
          <w:numId w:val="26"/>
        </w:numPr>
        <w:spacing w:after="0" w:line="240" w:lineRule="auto"/>
        <w:jc w:val="both"/>
        <w:rPr>
          <w:rFonts w:eastAsia="Times New Roman" w:cstheme="minorHAnsi"/>
          <w:szCs w:val="20"/>
          <w:lang w:val="fr-FR" w:eastAsia="fr-FR"/>
        </w:rPr>
      </w:pPr>
      <w:r>
        <w:rPr>
          <w:rFonts w:eastAsia="Times New Roman" w:cstheme="minorHAnsi"/>
          <w:szCs w:val="20"/>
          <w:lang w:val="fr-FR" w:eastAsia="fr-FR"/>
        </w:rPr>
        <w:t>25/03/19</w:t>
      </w:r>
    </w:p>
    <w:p>
      <w:pPr>
        <w:pStyle w:val="Paragraphedeliste"/>
        <w:numPr>
          <w:ilvl w:val="0"/>
          <w:numId w:val="26"/>
        </w:numPr>
        <w:spacing w:after="0" w:line="240" w:lineRule="auto"/>
        <w:jc w:val="both"/>
        <w:rPr>
          <w:rFonts w:eastAsia="Times New Roman" w:cstheme="minorHAnsi"/>
          <w:szCs w:val="20"/>
          <w:lang w:val="fr-FR" w:eastAsia="fr-FR"/>
        </w:rPr>
      </w:pPr>
      <w:r>
        <w:rPr>
          <w:rFonts w:eastAsia="Times New Roman" w:cstheme="minorHAnsi"/>
          <w:szCs w:val="20"/>
          <w:lang w:val="fr-FR" w:eastAsia="fr-FR"/>
        </w:rPr>
        <w:t>13/05/19</w:t>
      </w:r>
    </w:p>
    <w:p>
      <w:pPr>
        <w:pStyle w:val="Paragraphedeliste"/>
        <w:spacing w:after="0" w:line="240" w:lineRule="auto"/>
        <w:jc w:val="both"/>
        <w:rPr>
          <w:rFonts w:eastAsia="Times New Roman" w:cstheme="minorHAnsi"/>
          <w:szCs w:val="20"/>
          <w:lang w:val="fr-FR" w:eastAsia="fr-FR"/>
        </w:rPr>
      </w:pPr>
    </w:p>
    <w:p>
      <w:pPr>
        <w:pStyle w:val="Paragraphedeliste"/>
        <w:spacing w:after="0" w:line="240" w:lineRule="auto"/>
        <w:ind w:left="0"/>
        <w:jc w:val="both"/>
        <w:rPr>
          <w:rFonts w:eastAsia="Times New Roman" w:cstheme="minorHAnsi"/>
          <w:szCs w:val="20"/>
          <w:lang w:val="fr-FR" w:eastAsia="fr-FR"/>
        </w:rPr>
      </w:pPr>
      <w:r>
        <w:rPr>
          <w:rFonts w:eastAsia="Times New Roman" w:cstheme="minorHAnsi"/>
          <w:szCs w:val="20"/>
          <w:lang w:val="fr-FR" w:eastAsia="fr-FR"/>
        </w:rPr>
        <w:t>Les emplois obtenus suite à chaque augmentation de cadre maternel en cours d’année scolaire, ainsi que les périodes de psychomotricité organiques (2 périodes par emploi entier), sont maintenus jusqu’au 30 juin 2019.</w:t>
      </w:r>
    </w:p>
    <w:p>
      <w:pPr>
        <w:pStyle w:val="Paragraphedeliste"/>
        <w:spacing w:after="0" w:line="240" w:lineRule="auto"/>
        <w:ind w:left="0"/>
        <w:jc w:val="both"/>
        <w:rPr>
          <w:rFonts w:eastAsia="Times New Roman" w:cstheme="minorHAnsi"/>
          <w:szCs w:val="20"/>
          <w:lang w:val="fr-FR" w:eastAsia="fr-FR"/>
        </w:rPr>
      </w:pPr>
    </w:p>
    <w:p>
      <w:pPr>
        <w:pStyle w:val="Titre2"/>
        <w:rPr>
          <w:lang w:val="fr-FR" w:eastAsia="fr-FR"/>
        </w:rPr>
      </w:pPr>
      <w:bookmarkStart w:id="25" w:name="_Toc515540740"/>
      <w:r>
        <w:rPr>
          <w:lang w:val="fr-FR" w:eastAsia="fr-FR"/>
        </w:rPr>
        <w:t>Personne de contact</w:t>
      </w:r>
      <w:bookmarkEnd w:id="25"/>
      <w:r>
        <w:rPr>
          <w:lang w:val="fr-FR" w:eastAsia="fr-FR"/>
        </w:rPr>
        <w:t xml:space="preserve"> </w:t>
      </w:r>
    </w:p>
    <w:p>
      <w:pPr>
        <w:pStyle w:val="Sansinterligne"/>
        <w:rPr>
          <w:lang w:val="fr-FR" w:eastAsia="fr-FR"/>
        </w:rPr>
      </w:pPr>
    </w:p>
    <w:p>
      <w:pPr>
        <w:pStyle w:val="Paragraphedeliste"/>
        <w:spacing w:after="0" w:line="240" w:lineRule="auto"/>
        <w:ind w:left="0"/>
        <w:jc w:val="both"/>
        <w:rPr>
          <w:rFonts w:eastAsia="Times New Roman" w:cstheme="minorHAnsi"/>
          <w:szCs w:val="20"/>
          <w:lang w:val="fr-FR" w:eastAsia="fr-FR"/>
        </w:rPr>
      </w:pPr>
      <w:r>
        <w:rPr>
          <w:rFonts w:eastAsia="Times New Roman" w:cstheme="minorHAnsi"/>
          <w:szCs w:val="20"/>
          <w:lang w:val="fr-FR" w:eastAsia="fr-FR"/>
        </w:rPr>
        <w:t>Pour toute question concernant le calcul du cadre d’emplois des maîtres de psychomotricité, veuillez contacter :</w:t>
      </w:r>
    </w:p>
    <w:p>
      <w:pPr>
        <w:pStyle w:val="Paragraphedeliste"/>
        <w:spacing w:after="0" w:line="240" w:lineRule="auto"/>
        <w:ind w:left="0"/>
        <w:jc w:val="both"/>
        <w:rPr>
          <w:rFonts w:eastAsia="Times New Roman" w:cstheme="minorHAnsi"/>
          <w:szCs w:val="20"/>
          <w:lang w:val="fr-FR" w:eastAsia="fr-FR"/>
        </w:rPr>
      </w:pPr>
      <w:r>
        <w:rPr>
          <w:rFonts w:eastAsia="Times New Roman" w:cstheme="minorHAnsi"/>
          <w:szCs w:val="20"/>
          <w:lang w:val="fr-FR" w:eastAsia="fr-FR"/>
        </w:rPr>
        <w:t>Madame Jennifer TITEUX</w:t>
      </w:r>
    </w:p>
    <w:p>
      <w:pPr>
        <w:pStyle w:val="Paragraphedeliste"/>
        <w:spacing w:after="0" w:line="240" w:lineRule="auto"/>
        <w:ind w:left="0"/>
        <w:jc w:val="both"/>
        <w:rPr>
          <w:rFonts w:eastAsia="Times New Roman" w:cstheme="minorHAnsi"/>
          <w:szCs w:val="20"/>
          <w:lang w:val="fr-FR" w:eastAsia="fr-FR"/>
        </w:rPr>
      </w:pPr>
      <w:r>
        <w:rPr>
          <w:rFonts w:eastAsia="Times New Roman" w:cstheme="minorHAnsi"/>
          <w:szCs w:val="20"/>
          <w:lang w:val="fr-FR" w:eastAsia="fr-FR"/>
        </w:rPr>
        <w:t>Téléphone : 02/690.83.22</w:t>
      </w:r>
    </w:p>
    <w:p>
      <w:pPr>
        <w:pStyle w:val="Paragraphedeliste"/>
        <w:spacing w:after="0" w:line="240" w:lineRule="auto"/>
        <w:ind w:left="0"/>
        <w:jc w:val="both"/>
        <w:rPr>
          <w:rFonts w:eastAsia="Times New Roman" w:cstheme="minorHAnsi"/>
          <w:szCs w:val="20"/>
          <w:lang w:val="fr-FR" w:eastAsia="fr-FR"/>
        </w:rPr>
      </w:pPr>
      <w:r>
        <w:rPr>
          <w:rFonts w:eastAsia="Times New Roman" w:cstheme="minorHAnsi"/>
          <w:szCs w:val="20"/>
          <w:lang w:val="fr-FR" w:eastAsia="fr-FR"/>
        </w:rPr>
        <w:t xml:space="preserve">Adresse courriel : </w:t>
      </w:r>
      <w:hyperlink r:id="rId12" w:history="1">
        <w:r>
          <w:rPr>
            <w:rStyle w:val="Lienhypertexte"/>
            <w:rFonts w:eastAsia="Times New Roman" w:cstheme="minorHAnsi"/>
            <w:szCs w:val="20"/>
            <w:lang w:val="fr-FR" w:eastAsia="fr-FR"/>
          </w:rPr>
          <w:t>jennifer.titeux@cfwb.be</w:t>
        </w:r>
      </w:hyperlink>
    </w:p>
    <w:p>
      <w:pPr>
        <w:pStyle w:val="Paragraphedeliste"/>
        <w:spacing w:after="0" w:line="240" w:lineRule="auto"/>
        <w:ind w:left="0"/>
        <w:jc w:val="both"/>
        <w:rPr>
          <w:rFonts w:eastAsia="Times New Roman" w:cstheme="minorHAnsi"/>
          <w:szCs w:val="20"/>
          <w:lang w:val="fr-FR" w:eastAsia="fr-FR"/>
        </w:rPr>
      </w:pPr>
    </w:p>
    <w:p>
      <w:pPr>
        <w:spacing w:after="0" w:line="240" w:lineRule="auto"/>
        <w:jc w:val="both"/>
        <w:rPr>
          <w:rFonts w:eastAsia="Times New Roman" w:cstheme="minorHAnsi"/>
          <w:sz w:val="24"/>
          <w:lang w:val="fr-FR" w:eastAsia="fr-FR"/>
        </w:rPr>
      </w:pPr>
    </w:p>
    <w:p>
      <w:pPr>
        <w:spacing w:after="0" w:line="240" w:lineRule="auto"/>
        <w:jc w:val="both"/>
        <w:rPr>
          <w:rFonts w:eastAsia="Times New Roman" w:cstheme="minorHAnsi"/>
          <w:lang w:val="fr-FR" w:eastAsia="fr-FR"/>
        </w:rPr>
      </w:pPr>
      <w:r>
        <w:rPr>
          <w:rFonts w:eastAsia="Times New Roman" w:cstheme="minorHAnsi"/>
          <w:u w:val="single"/>
          <w:lang w:val="fr-FR" w:eastAsia="fr-FR"/>
        </w:rPr>
        <w:t>À partir du 22 août 2018</w:t>
      </w:r>
      <w:r>
        <w:rPr>
          <w:rFonts w:eastAsia="Times New Roman" w:cstheme="minorHAnsi"/>
          <w:lang w:val="fr-FR" w:eastAsia="fr-FR"/>
        </w:rPr>
        <w:t xml:space="preserve"> : </w:t>
      </w:r>
    </w:p>
    <w:p>
      <w:pPr>
        <w:spacing w:after="0" w:line="240" w:lineRule="auto"/>
        <w:jc w:val="both"/>
        <w:rPr>
          <w:rFonts w:eastAsia="Times New Roman" w:cstheme="minorHAnsi"/>
          <w:lang w:val="fr-FR" w:eastAsia="fr-FR"/>
        </w:rPr>
      </w:pPr>
    </w:p>
    <w:p>
      <w:pPr>
        <w:spacing w:after="0" w:line="240" w:lineRule="auto"/>
        <w:jc w:val="both"/>
        <w:rPr>
          <w:rFonts w:eastAsia="Times New Roman" w:cstheme="minorHAnsi"/>
          <w:lang w:val="fr-FR" w:eastAsia="fr-FR"/>
        </w:rPr>
      </w:pPr>
      <w:r>
        <w:rPr>
          <w:rFonts w:eastAsia="Times New Roman" w:cstheme="minorHAnsi"/>
          <w:lang w:val="fr-FR" w:eastAsia="fr-FR"/>
        </w:rPr>
        <w:t>Cellule PUPSY : en charge de l’accompagnement de la mise en œuvre de la réforme.</w:t>
      </w:r>
    </w:p>
    <w:p>
      <w:pPr>
        <w:spacing w:after="0" w:line="240" w:lineRule="auto"/>
        <w:jc w:val="both"/>
        <w:rPr>
          <w:rFonts w:eastAsia="Times New Roman" w:cstheme="minorHAnsi"/>
          <w:lang w:val="fr-FR" w:eastAsia="fr-FR"/>
        </w:rPr>
      </w:pPr>
      <w:r>
        <w:rPr>
          <w:rFonts w:eastAsia="Times New Roman" w:cstheme="minorHAnsi"/>
          <w:lang w:val="fr-FR" w:eastAsia="fr-FR"/>
        </w:rPr>
        <w:t xml:space="preserve">Adresse courriel : </w:t>
      </w:r>
      <w:hyperlink r:id="rId13" w:history="1">
        <w:r>
          <w:rPr>
            <w:rStyle w:val="Lienhypertexte"/>
            <w:rFonts w:eastAsia="Times New Roman" w:cstheme="minorHAnsi"/>
            <w:lang w:val="fr-FR" w:eastAsia="fr-FR"/>
          </w:rPr>
          <w:t>PUPSY@gov.cfwb.be</w:t>
        </w:r>
      </w:hyperlink>
      <w:r>
        <w:rPr>
          <w:rFonts w:eastAsia="Times New Roman" w:cstheme="minorHAnsi"/>
          <w:lang w:val="fr-FR" w:eastAsia="fr-FR"/>
        </w:rPr>
        <w:t xml:space="preserve"> </w:t>
      </w:r>
    </w:p>
    <w:p>
      <w:pPr>
        <w:spacing w:line="276" w:lineRule="auto"/>
        <w:jc w:val="both"/>
      </w:pPr>
    </w:p>
    <w:p>
      <w:pPr>
        <w:spacing w:after="0" w:line="276" w:lineRule="auto"/>
        <w:jc w:val="both"/>
        <w:rPr>
          <w:sz w:val="24"/>
        </w:rPr>
      </w:pPr>
    </w:p>
    <w:p>
      <w:pPr>
        <w:spacing w:after="0" w:line="276" w:lineRule="auto"/>
        <w:jc w:val="both"/>
        <w:rPr>
          <w:sz w:val="24"/>
        </w:rPr>
      </w:pPr>
    </w:p>
    <w:p>
      <w:pPr>
        <w:rPr>
          <w:b/>
          <w:sz w:val="24"/>
        </w:rPr>
      </w:pPr>
    </w:p>
    <w:p>
      <w:pPr>
        <w:pStyle w:val="Titre1"/>
      </w:pPr>
      <w:bookmarkStart w:id="26" w:name="_Toc515540741"/>
      <w:r>
        <w:lastRenderedPageBreak/>
        <w:t>CHAPITRE II - CHAMP D’APPLICATION</w:t>
      </w:r>
      <w:bookmarkEnd w:id="26"/>
    </w:p>
    <w:p>
      <w:pPr>
        <w:spacing w:after="0" w:line="276" w:lineRule="auto"/>
        <w:jc w:val="both"/>
      </w:pPr>
      <w:r>
        <w:t xml:space="preserve">Le décret précité prévoit que les emplois vacants dans la fonction de maître de psychomotricité seront attribués </w:t>
      </w:r>
      <w:r>
        <w:rPr>
          <w:b/>
        </w:rPr>
        <w:t>en priorité</w:t>
      </w:r>
      <w:r>
        <w:t xml:space="preserve">, lors de l’année scolaire 2018-2019, selon les procédures exposées aux Chapitres IV et V, </w:t>
      </w:r>
      <w:r>
        <w:rPr>
          <w:u w:val="double"/>
        </w:rPr>
        <w:t>aux membres du personnel exerçant la fonction de maître de psychomotricité</w:t>
      </w:r>
      <w:r>
        <w:t xml:space="preserve"> dans l’enseignement officiel subventionné par la Communauté française. Il prévoit, par ailleurs, une nouvelle modalité de calcul de l’ancienneté pour les maîtres de psychomotricité ACS/APE bénéficiant de cette priorité. Les membres du personnel bénéficiaires de ces mesures sont répartis en quatre catégories :</w:t>
      </w:r>
    </w:p>
    <w:p>
      <w:pPr>
        <w:pStyle w:val="Titre2"/>
        <w:numPr>
          <w:ilvl w:val="0"/>
          <w:numId w:val="30"/>
        </w:numPr>
        <w:spacing w:line="276" w:lineRule="auto"/>
        <w:jc w:val="both"/>
        <w:rPr>
          <w:b w:val="0"/>
          <w:sz w:val="22"/>
        </w:rPr>
      </w:pPr>
      <w:bookmarkStart w:id="27" w:name="_Toc515540742"/>
      <w:r>
        <w:rPr>
          <w:rStyle w:val="Titre2Car"/>
          <w:b/>
          <w:sz w:val="22"/>
        </w:rPr>
        <w:t>Les membres du personnel recrutés en qualité de maîtres de psychomotricité ACS/APE dans l’enseignement officiel subventionné par la Communauté française</w:t>
      </w:r>
      <w:r>
        <w:rPr>
          <w:rStyle w:val="Appelnotedebasdep"/>
          <w:sz w:val="22"/>
        </w:rPr>
        <w:footnoteReference w:id="1"/>
      </w:r>
      <w:bookmarkEnd w:id="27"/>
      <w:r>
        <w:rPr>
          <w:rStyle w:val="Titre2Car"/>
          <w:sz w:val="22"/>
        </w:rPr>
        <w:t> </w:t>
      </w:r>
    </w:p>
    <w:p>
      <w:pPr>
        <w:pStyle w:val="Paragraphedeliste"/>
        <w:numPr>
          <w:ilvl w:val="0"/>
          <w:numId w:val="17"/>
        </w:numPr>
        <w:spacing w:line="276" w:lineRule="auto"/>
        <w:jc w:val="both"/>
        <w:rPr>
          <w:szCs w:val="24"/>
        </w:rPr>
      </w:pPr>
      <w:r>
        <w:rPr>
          <w:szCs w:val="24"/>
        </w:rPr>
        <w:t>qui se portent candidats pour le 30 juin 2018 au plus tard ;</w:t>
      </w:r>
    </w:p>
    <w:p>
      <w:pPr>
        <w:pStyle w:val="Paragraphedeliste"/>
        <w:numPr>
          <w:ilvl w:val="0"/>
          <w:numId w:val="17"/>
        </w:numPr>
        <w:spacing w:line="276" w:lineRule="auto"/>
        <w:jc w:val="both"/>
        <w:rPr>
          <w:rStyle w:val="Titre2Car"/>
          <w:b w:val="0"/>
          <w:sz w:val="22"/>
        </w:rPr>
      </w:pPr>
      <w:r>
        <w:rPr>
          <w:szCs w:val="24"/>
        </w:rPr>
        <w:t xml:space="preserve">selon les </w:t>
      </w:r>
      <w:r>
        <w:rPr>
          <w:rStyle w:val="Titre2Car"/>
          <w:b w:val="0"/>
          <w:sz w:val="22"/>
        </w:rPr>
        <w:t>modalités exposées aux Chapitres IV et V ;</w:t>
      </w:r>
    </w:p>
    <w:p>
      <w:pPr>
        <w:pStyle w:val="Paragraphedeliste"/>
        <w:numPr>
          <w:ilvl w:val="0"/>
          <w:numId w:val="17"/>
        </w:numPr>
        <w:spacing w:line="276" w:lineRule="auto"/>
        <w:jc w:val="both"/>
        <w:rPr>
          <w:szCs w:val="24"/>
        </w:rPr>
      </w:pPr>
      <w:bookmarkStart w:id="28" w:name="_Toc512350464"/>
      <w:r>
        <w:rPr>
          <w:szCs w:val="24"/>
        </w:rPr>
        <w:t>à un emploi dans la fonction de maître de psychomotricité ;</w:t>
      </w:r>
      <w:bookmarkEnd w:id="28"/>
    </w:p>
    <w:p>
      <w:pPr>
        <w:pStyle w:val="Paragraphedeliste"/>
        <w:numPr>
          <w:ilvl w:val="0"/>
          <w:numId w:val="17"/>
        </w:numPr>
        <w:spacing w:line="276" w:lineRule="auto"/>
        <w:jc w:val="both"/>
        <w:rPr>
          <w:szCs w:val="24"/>
        </w:rPr>
      </w:pPr>
      <w:r>
        <w:rPr>
          <w:szCs w:val="24"/>
        </w:rPr>
        <w:t>auprès du(des) pouvoir(s) organisateur(s) au sein du(des)quel(s) ils ont exercé leur fonction au cours des cinq dernières années scolaires.</w:t>
      </w:r>
    </w:p>
    <w:p>
      <w:pPr>
        <w:pStyle w:val="Titre2"/>
        <w:spacing w:line="276" w:lineRule="auto"/>
        <w:jc w:val="both"/>
        <w:rPr>
          <w:sz w:val="22"/>
        </w:rPr>
      </w:pPr>
      <w:bookmarkStart w:id="29" w:name="_Toc515540743"/>
      <w:r>
        <w:rPr>
          <w:rStyle w:val="Titre2Car"/>
          <w:b/>
          <w:sz w:val="22"/>
        </w:rPr>
        <w:t>Les membres du personnel désignés en qualité de maîtres de psychomotricité à titre temporaire</w:t>
      </w:r>
      <w:r>
        <w:rPr>
          <w:rStyle w:val="Titre2Car"/>
          <w:sz w:val="22"/>
        </w:rPr>
        <w:t xml:space="preserve"> </w:t>
      </w:r>
      <w:r>
        <w:rPr>
          <w:rStyle w:val="Titre2Car"/>
          <w:b/>
          <w:sz w:val="22"/>
        </w:rPr>
        <w:t>en vertu du décret du 6 juin 1994</w:t>
      </w:r>
      <w:r>
        <w:rPr>
          <w:rStyle w:val="Appelnotedebasdep"/>
          <w:sz w:val="22"/>
        </w:rPr>
        <w:footnoteReference w:id="2"/>
      </w:r>
      <w:bookmarkEnd w:id="29"/>
    </w:p>
    <w:p>
      <w:pPr>
        <w:pStyle w:val="Paragraphedeliste"/>
        <w:numPr>
          <w:ilvl w:val="0"/>
          <w:numId w:val="17"/>
        </w:numPr>
        <w:spacing w:line="276" w:lineRule="auto"/>
        <w:jc w:val="both"/>
        <w:rPr>
          <w:szCs w:val="24"/>
        </w:rPr>
      </w:pPr>
      <w:r>
        <w:rPr>
          <w:szCs w:val="24"/>
        </w:rPr>
        <w:t>qui se portent candidats pour le 30 juin 2018 au plus tard ;</w:t>
      </w:r>
    </w:p>
    <w:p>
      <w:pPr>
        <w:pStyle w:val="Paragraphedeliste"/>
        <w:numPr>
          <w:ilvl w:val="0"/>
          <w:numId w:val="17"/>
        </w:numPr>
        <w:spacing w:line="276" w:lineRule="auto"/>
        <w:jc w:val="both"/>
        <w:rPr>
          <w:szCs w:val="24"/>
        </w:rPr>
      </w:pPr>
      <w:r>
        <w:rPr>
          <w:szCs w:val="24"/>
        </w:rPr>
        <w:t>selon les modalités exposées aux Chapitres IV et V ;</w:t>
      </w:r>
    </w:p>
    <w:p>
      <w:pPr>
        <w:pStyle w:val="Paragraphedeliste"/>
        <w:numPr>
          <w:ilvl w:val="0"/>
          <w:numId w:val="17"/>
        </w:numPr>
        <w:spacing w:line="276" w:lineRule="auto"/>
        <w:jc w:val="both"/>
        <w:rPr>
          <w:szCs w:val="24"/>
        </w:rPr>
      </w:pPr>
      <w:r>
        <w:rPr>
          <w:szCs w:val="24"/>
        </w:rPr>
        <w:t>à un emploi dans la fonction de maître de psychomotricité ;</w:t>
      </w:r>
    </w:p>
    <w:p>
      <w:pPr>
        <w:pStyle w:val="Paragraphedeliste"/>
        <w:numPr>
          <w:ilvl w:val="0"/>
          <w:numId w:val="17"/>
        </w:numPr>
        <w:spacing w:line="276" w:lineRule="auto"/>
        <w:jc w:val="both"/>
        <w:rPr>
          <w:szCs w:val="24"/>
        </w:rPr>
      </w:pPr>
      <w:r>
        <w:rPr>
          <w:szCs w:val="24"/>
        </w:rPr>
        <w:t xml:space="preserve">auprès du(des) pouvoir(s) organisateur(s) au sein du(des)quel(s) ils ont exercé leur fonction. </w:t>
      </w:r>
    </w:p>
    <w:p>
      <w:pPr>
        <w:pStyle w:val="Titre2"/>
        <w:spacing w:line="276" w:lineRule="auto"/>
        <w:jc w:val="both"/>
        <w:rPr>
          <w:sz w:val="22"/>
        </w:rPr>
      </w:pPr>
      <w:bookmarkStart w:id="30" w:name="_Toc515540744"/>
      <w:r>
        <w:rPr>
          <w:rStyle w:val="Titre2Car"/>
          <w:b/>
          <w:sz w:val="22"/>
        </w:rPr>
        <w:t>Les maîtres de psychomotricité revêtant la qualité de membres du personnel temporaires prioritaires, au sens de l'article 24, § 1er, du décret du 6 juin 1994</w:t>
      </w:r>
      <w:bookmarkEnd w:id="30"/>
      <w:r>
        <w:rPr>
          <w:rStyle w:val="Titre2Car"/>
          <w:b/>
          <w:sz w:val="22"/>
        </w:rPr>
        <w:t xml:space="preserve"> </w:t>
      </w:r>
    </w:p>
    <w:p>
      <w:pPr>
        <w:pStyle w:val="Paragraphedeliste"/>
        <w:numPr>
          <w:ilvl w:val="0"/>
          <w:numId w:val="18"/>
        </w:numPr>
        <w:spacing w:line="276" w:lineRule="auto"/>
        <w:jc w:val="both"/>
      </w:pPr>
      <w:r>
        <w:t>qui se portent candidats pour le 30 juin 2018 au plus tard ;</w:t>
      </w:r>
    </w:p>
    <w:p>
      <w:pPr>
        <w:pStyle w:val="Paragraphedeliste"/>
        <w:numPr>
          <w:ilvl w:val="0"/>
          <w:numId w:val="18"/>
        </w:numPr>
        <w:spacing w:line="276" w:lineRule="auto"/>
        <w:jc w:val="both"/>
      </w:pPr>
      <w:r>
        <w:t>selon les modalités exposées aux Chapitres IV et V ;</w:t>
      </w:r>
    </w:p>
    <w:p>
      <w:pPr>
        <w:pStyle w:val="Paragraphedeliste"/>
        <w:numPr>
          <w:ilvl w:val="0"/>
          <w:numId w:val="18"/>
        </w:numPr>
        <w:spacing w:line="276" w:lineRule="auto"/>
        <w:jc w:val="both"/>
      </w:pPr>
      <w:r>
        <w:t>à un emploi dans la fonction de maître de psychomotricité ;</w:t>
      </w:r>
    </w:p>
    <w:p>
      <w:pPr>
        <w:pStyle w:val="Paragraphedeliste"/>
        <w:numPr>
          <w:ilvl w:val="0"/>
          <w:numId w:val="18"/>
        </w:numPr>
        <w:spacing w:line="276" w:lineRule="auto"/>
        <w:jc w:val="both"/>
      </w:pPr>
      <w:r>
        <w:t>auprès du(des) pouvoir(s) organisateur(s) au sein du(des)quel(s) ils ont exercé leur fonction.</w:t>
      </w:r>
    </w:p>
    <w:p>
      <w:pPr>
        <w:pStyle w:val="Titre2"/>
        <w:spacing w:line="276" w:lineRule="auto"/>
        <w:jc w:val="both"/>
        <w:rPr>
          <w:sz w:val="22"/>
        </w:rPr>
      </w:pPr>
      <w:bookmarkStart w:id="31" w:name="_Toc515540745"/>
      <w:r>
        <w:rPr>
          <w:rStyle w:val="Titre2Car"/>
          <w:b/>
          <w:sz w:val="22"/>
        </w:rPr>
        <w:t>Les membres du personnel nommés en qualité de maîtres de psychomotricité pour une charge incomplète dans cette fonction en vertu du décret du 6 juin 1994</w:t>
      </w:r>
      <w:bookmarkEnd w:id="31"/>
      <w:r>
        <w:rPr>
          <w:rStyle w:val="Titre2Car"/>
          <w:b/>
          <w:sz w:val="22"/>
        </w:rPr>
        <w:t xml:space="preserve"> </w:t>
      </w:r>
    </w:p>
    <w:p>
      <w:pPr>
        <w:pStyle w:val="Paragraphedeliste"/>
        <w:numPr>
          <w:ilvl w:val="0"/>
          <w:numId w:val="19"/>
        </w:numPr>
        <w:spacing w:after="0" w:line="276" w:lineRule="auto"/>
        <w:jc w:val="both"/>
      </w:pPr>
      <w:r>
        <w:t>qui se portent candidats pour le 30 juin 2018 au plus tard ;</w:t>
      </w:r>
    </w:p>
    <w:p>
      <w:pPr>
        <w:pStyle w:val="Paragraphedeliste"/>
        <w:numPr>
          <w:ilvl w:val="0"/>
          <w:numId w:val="19"/>
        </w:numPr>
        <w:spacing w:after="0" w:line="276" w:lineRule="auto"/>
        <w:jc w:val="both"/>
      </w:pPr>
      <w:r>
        <w:t>selon les modalités exposées aux Chapitres IV et V ;</w:t>
      </w:r>
    </w:p>
    <w:p>
      <w:pPr>
        <w:pStyle w:val="Paragraphedeliste"/>
        <w:numPr>
          <w:ilvl w:val="0"/>
          <w:numId w:val="19"/>
        </w:numPr>
        <w:spacing w:after="0" w:line="276" w:lineRule="auto"/>
        <w:jc w:val="both"/>
      </w:pPr>
      <w:r>
        <w:t>à un emploi dans la fonction de maître de psychomotricité ;</w:t>
      </w:r>
    </w:p>
    <w:p>
      <w:pPr>
        <w:pStyle w:val="Paragraphedeliste"/>
        <w:numPr>
          <w:ilvl w:val="0"/>
          <w:numId w:val="19"/>
        </w:numPr>
        <w:spacing w:after="0" w:line="276" w:lineRule="auto"/>
        <w:jc w:val="both"/>
      </w:pPr>
      <w:r>
        <w:t>auprès du(des) pouvoir(s) organisateur(s) au sein du(des)quel(s) ils ont exercé leur fonction.</w:t>
      </w:r>
    </w:p>
    <w:p>
      <w:pPr>
        <w:spacing w:after="0" w:line="276" w:lineRule="auto"/>
        <w:jc w:val="both"/>
      </w:pPr>
    </w:p>
    <w:p>
      <w:pPr>
        <w:spacing w:after="0" w:line="276" w:lineRule="auto"/>
        <w:jc w:val="both"/>
      </w:pPr>
    </w:p>
    <w:p>
      <w:pPr>
        <w:pStyle w:val="Titre1"/>
      </w:pPr>
      <w:bookmarkStart w:id="32" w:name="_Toc515540746"/>
      <w:r>
        <w:lastRenderedPageBreak/>
        <w:t>CHAPITRE III - CALCUL PARTICULIER DE L’ANCIENNETÉ DES MAÎTRES DE PSYCHOMOTRICITÉ ACS/APE</w:t>
      </w:r>
      <w:bookmarkEnd w:id="32"/>
    </w:p>
    <w:p>
      <w:pPr>
        <w:spacing w:after="0" w:line="240" w:lineRule="auto"/>
        <w:rPr>
          <w:b/>
          <w:i/>
          <w:sz w:val="24"/>
          <w:u w:val="thick"/>
        </w:rPr>
      </w:pPr>
    </w:p>
    <w:p>
      <w:pPr>
        <w:pStyle w:val="Titre2"/>
        <w:numPr>
          <w:ilvl w:val="0"/>
          <w:numId w:val="8"/>
        </w:numPr>
      </w:pPr>
      <w:bookmarkStart w:id="33" w:name="_Toc515540747"/>
      <w:r>
        <w:t>Rappel des règles classiques de calcul de l’ancienneté des membres du personnel de l’enseignement officiel subventionné</w:t>
      </w:r>
      <w:r>
        <w:rPr>
          <w:rStyle w:val="Appelnotedebasdep"/>
        </w:rPr>
        <w:footnoteReference w:id="3"/>
      </w:r>
      <w:bookmarkEnd w:id="33"/>
      <w:r>
        <w:t xml:space="preserve"> </w:t>
      </w:r>
    </w:p>
    <w:p>
      <w:pPr>
        <w:pStyle w:val="Titre3"/>
        <w:numPr>
          <w:ilvl w:val="1"/>
          <w:numId w:val="8"/>
        </w:numPr>
      </w:pPr>
      <w:bookmarkStart w:id="34" w:name="_Toc515540748"/>
      <w:r>
        <w:t>Les membres du personnel exerçant dans le cadre organique</w:t>
      </w:r>
      <w:bookmarkEnd w:id="34"/>
    </w:p>
    <w:p>
      <w:pPr>
        <w:spacing w:after="0" w:line="276" w:lineRule="auto"/>
        <w:jc w:val="both"/>
      </w:pPr>
      <w:bookmarkStart w:id="35" w:name="article34"/>
      <w:bookmarkEnd w:id="35"/>
      <w:r>
        <w:t>Pour le calcul de l’ancienneté de services des membres du personnel exerçant leur fonction dans le cadre organique</w:t>
      </w:r>
      <w:r>
        <w:rPr>
          <w:rStyle w:val="Appelnotedebasdep"/>
        </w:rPr>
        <w:footnoteReference w:id="4"/>
      </w:r>
      <w:r>
        <w:t>, sont seuls pris en considération les services accomplis et subventionnés à la fin de l'année scolaire ou académique en cours auprès du pouvoir organisateur, en fonction principale au sein d'une même catégorie, et pour autant que le candidat porte le titre de capacité pour cette fonction.</w:t>
      </w:r>
    </w:p>
    <w:p>
      <w:pPr>
        <w:spacing w:after="0" w:line="276" w:lineRule="auto"/>
        <w:jc w:val="both"/>
      </w:pPr>
    </w:p>
    <w:p>
      <w:pPr>
        <w:spacing w:after="0" w:line="276" w:lineRule="auto"/>
        <w:jc w:val="both"/>
      </w:pPr>
      <w:r>
        <w:t>Le nombre de jours acquis en qualité de temporaire dans une fonction à prestations complètes est formé de tous les jours comptés du début à la fin de la période d'activité continue</w:t>
      </w:r>
      <w:r>
        <w:rPr>
          <w:rStyle w:val="Appelnotedebasdep"/>
        </w:rPr>
        <w:footnoteReference w:id="5"/>
      </w:r>
      <w:r>
        <w:t xml:space="preserve">. </w:t>
      </w:r>
    </w:p>
    <w:p>
      <w:pPr>
        <w:spacing w:after="0" w:line="276" w:lineRule="auto"/>
        <w:jc w:val="both"/>
        <w:rPr>
          <w:rFonts w:eastAsia="Times New Roman" w:cstheme="minorHAnsi"/>
          <w:lang w:eastAsia="fr-BE"/>
        </w:rPr>
      </w:pPr>
      <w:r>
        <w:rPr>
          <w:rFonts w:eastAsia="Times New Roman" w:cstheme="minorHAnsi"/>
          <w:lang w:eastAsia="fr-BE"/>
        </w:rPr>
        <w:t>Les jours acquis en qualité de définitif dans une fonction à prestations complètes se comptent du début à la fin d'une période ininterrompue d'activité de service</w:t>
      </w:r>
      <w:r>
        <w:rPr>
          <w:rStyle w:val="Appelnotedebasdep"/>
          <w:rFonts w:eastAsia="Times New Roman" w:cstheme="minorHAnsi"/>
          <w:lang w:eastAsia="fr-BE"/>
        </w:rPr>
        <w:footnoteReference w:id="6"/>
      </w:r>
      <w:r>
        <w:rPr>
          <w:rFonts w:eastAsia="Times New Roman" w:cstheme="minorHAnsi"/>
          <w:lang w:eastAsia="fr-BE"/>
        </w:rPr>
        <w:t xml:space="preserve">. </w:t>
      </w:r>
    </w:p>
    <w:p>
      <w:pPr>
        <w:spacing w:after="0" w:line="276" w:lineRule="auto"/>
        <w:jc w:val="both"/>
      </w:pPr>
    </w:p>
    <w:p>
      <w:pPr>
        <w:spacing w:after="0" w:line="276" w:lineRule="auto"/>
        <w:jc w:val="both"/>
      </w:pPr>
      <w:r>
        <w:t xml:space="preserve">Les services accomplis dans une fonction à prestations incomplètes comportant au moins la moitié du nombre d'heures requis pour la fonction à prestations complètes sont pris en considération au même titre que les services accomplis dans une fonction à prestations complètes. </w:t>
      </w:r>
    </w:p>
    <w:p>
      <w:pPr>
        <w:spacing w:after="0" w:line="276" w:lineRule="auto"/>
        <w:jc w:val="both"/>
      </w:pPr>
      <w:r>
        <w:t xml:space="preserve">Le nombre de jours acquis dans une fonction à prestations incomplètes qui ne comporte pas la moitié du nombre requis pour la fonction à prestations complètes, est réduit de moitié. </w:t>
      </w:r>
    </w:p>
    <w:p>
      <w:pPr>
        <w:spacing w:after="0" w:line="276" w:lineRule="auto"/>
        <w:jc w:val="both"/>
      </w:pPr>
    </w:p>
    <w:p>
      <w:pPr>
        <w:spacing w:after="0" w:line="276" w:lineRule="auto"/>
        <w:jc w:val="both"/>
      </w:pPr>
      <w:r>
        <w:t xml:space="preserve">La durée des services que compte le membre du personnel ne peut jamais dépasser 300 jours par année scolaire, 300 jours constituant une année d'ancienneté. </w:t>
      </w:r>
    </w:p>
    <w:p>
      <w:pPr>
        <w:spacing w:after="0" w:line="276" w:lineRule="auto"/>
        <w:jc w:val="both"/>
        <w:rPr>
          <w:sz w:val="24"/>
        </w:rPr>
      </w:pPr>
    </w:p>
    <w:p>
      <w:pPr>
        <w:pStyle w:val="Titre3"/>
        <w:numPr>
          <w:ilvl w:val="1"/>
          <w:numId w:val="8"/>
        </w:numPr>
      </w:pPr>
      <w:bookmarkStart w:id="36" w:name="_Toc515540749"/>
      <w:r>
        <w:t>Les membres du personnel engagés sous contrat ACS/APE</w:t>
      </w:r>
      <w:bookmarkEnd w:id="36"/>
    </w:p>
    <w:p>
      <w:pPr>
        <w:spacing w:after="0" w:line="276" w:lineRule="auto"/>
        <w:jc w:val="both"/>
      </w:pPr>
      <w:r>
        <w:t xml:space="preserve">Les services rendus par un membre du personnel non statutaire sont assimilés aux services accomplis par les membres du personnel exerçant leur fonction dans le cadre organique, à condition que ce membre du personnel soit porteur du titre requis ou du titre suffisant. </w:t>
      </w:r>
    </w:p>
    <w:p>
      <w:pPr>
        <w:spacing w:after="0" w:line="276" w:lineRule="auto"/>
        <w:jc w:val="both"/>
        <w:rPr>
          <w:u w:val="single"/>
        </w:rPr>
      </w:pPr>
      <w:r>
        <w:rPr>
          <w:u w:val="single"/>
        </w:rPr>
        <w:t xml:space="preserve">En ce qui concerne les 1200 premiers jours, il leur est appliqué un coefficient réducteur de 0,3. </w:t>
      </w:r>
    </w:p>
    <w:p>
      <w:pPr>
        <w:spacing w:after="0" w:line="276" w:lineRule="auto"/>
        <w:jc w:val="both"/>
      </w:pPr>
      <w:r>
        <w:lastRenderedPageBreak/>
        <w:t>Le nombre de jours acquis en qualité de membre du personnel non statutaire dans une fonction à prestations complètes est formé de tous les jours comptés du début à la fin de la période d'activité continue</w:t>
      </w:r>
      <w:r>
        <w:rPr>
          <w:rStyle w:val="Appelnotedebasdep"/>
        </w:rPr>
        <w:footnoteReference w:id="7"/>
      </w:r>
      <w:r>
        <w:t xml:space="preserve">. </w:t>
      </w:r>
    </w:p>
    <w:p>
      <w:pPr>
        <w:spacing w:after="0" w:line="276" w:lineRule="auto"/>
        <w:jc w:val="both"/>
      </w:pPr>
    </w:p>
    <w:p>
      <w:pPr>
        <w:spacing w:after="0" w:line="276" w:lineRule="auto"/>
        <w:jc w:val="both"/>
      </w:pPr>
      <w:r>
        <w:t xml:space="preserve">Les services accomplis dans une fonction à prestations incomplètes comportant au moins la moitié du nombre d'heures requis pour la fonction à prestations complètes sont pris en considération au même titre que les services accomplis dans une fonction à prestations complètes. </w:t>
      </w:r>
    </w:p>
    <w:p>
      <w:pPr>
        <w:spacing w:after="0" w:line="276" w:lineRule="auto"/>
        <w:jc w:val="both"/>
      </w:pPr>
      <w:r>
        <w:t>Le nombre de jours acquis dans une fonction à prestations incomplètes qui ne comporte pas la moitié du nombre d'heures requis pour la fonction à prestations complètes, est réduit de moitié.</w:t>
      </w:r>
    </w:p>
    <w:p>
      <w:pPr>
        <w:spacing w:after="0" w:line="276" w:lineRule="auto"/>
        <w:jc w:val="both"/>
        <w:rPr>
          <w:sz w:val="24"/>
        </w:rPr>
      </w:pPr>
    </w:p>
    <w:p>
      <w:pPr>
        <w:pStyle w:val="Titre2"/>
        <w:numPr>
          <w:ilvl w:val="0"/>
          <w:numId w:val="8"/>
        </w:numPr>
      </w:pPr>
      <w:bookmarkStart w:id="37" w:name="_Toc515540750"/>
      <w:r>
        <w:t>Modes dérogatoires de calcul de l’ancienneté instaurés par le décret</w:t>
      </w:r>
      <w:bookmarkEnd w:id="37"/>
      <w:r>
        <w:t> </w:t>
      </w:r>
    </w:p>
    <w:p>
      <w:pPr>
        <w:spacing w:after="0" w:line="276" w:lineRule="auto"/>
        <w:jc w:val="both"/>
      </w:pPr>
      <w:r>
        <w:t>Pour l’attribution, lors de l’année scolaire 2018-2019, des postes de maîtres de psychomotricité, conformément aux procédures exposées aux Chapitres IV et V, les membres du personnel relevant de l’une des quatre catégories visée au Chapitre II seront mis en concurrence. Afin de permettre une mise en concurrence équitable entre ces derniers, l’ancienneté acquise par les maîtres de psychomotricité ACS/APE visés au point 1. du Chapitre II devra être recalculée sur base de deux nouvelles règles :</w:t>
      </w:r>
    </w:p>
    <w:p>
      <w:pPr>
        <w:pStyle w:val="Paragraphedeliste"/>
        <w:numPr>
          <w:ilvl w:val="0"/>
          <w:numId w:val="19"/>
        </w:numPr>
        <w:spacing w:after="0" w:line="276" w:lineRule="auto"/>
        <w:jc w:val="both"/>
      </w:pPr>
      <w:r>
        <w:t>Elle sera recalculée en supprimant le coefficient réducteur de 0,3 ;</w:t>
      </w:r>
    </w:p>
    <w:p>
      <w:pPr>
        <w:pStyle w:val="Paragraphedeliste"/>
        <w:numPr>
          <w:ilvl w:val="0"/>
          <w:numId w:val="19"/>
        </w:numPr>
        <w:spacing w:after="0" w:line="276" w:lineRule="auto"/>
        <w:jc w:val="both"/>
      </w:pPr>
      <w:r>
        <w:t>Elle pourra être valorisée auprès de chacun ou certains des pouvoirs organisateurs au sein duquel le maître de psychomotricité ACS/APE a exercé sa fonction dans le cadre d’un emploi partagé.</w:t>
      </w:r>
    </w:p>
    <w:p>
      <w:pPr>
        <w:spacing w:after="0" w:line="276" w:lineRule="auto"/>
        <w:jc w:val="both"/>
        <w:rPr>
          <w:sz w:val="24"/>
        </w:rPr>
      </w:pPr>
    </w:p>
    <w:p>
      <w:pPr>
        <w:pStyle w:val="Titre3"/>
        <w:numPr>
          <w:ilvl w:val="1"/>
          <w:numId w:val="8"/>
        </w:numPr>
      </w:pPr>
      <w:bookmarkStart w:id="38" w:name="_Toc515540751"/>
      <w:r>
        <w:t>Suppression du coefficient réducteur de 0,3</w:t>
      </w:r>
      <w:bookmarkEnd w:id="38"/>
    </w:p>
    <w:p>
      <w:pPr>
        <w:spacing w:after="0" w:line="276" w:lineRule="auto"/>
        <w:jc w:val="both"/>
      </w:pPr>
      <w:r>
        <w:t xml:space="preserve">Les maîtres de psychomotricité ACS/APE se voient appliquer, sur leurs 1200 premiers jours de services rendus, un coefficient réducteur de 0,3. </w:t>
      </w:r>
    </w:p>
    <w:p>
      <w:pPr>
        <w:spacing w:after="0" w:line="276" w:lineRule="auto"/>
        <w:jc w:val="both"/>
      </w:pPr>
    </w:p>
    <w:p>
      <w:pPr>
        <w:spacing w:after="0" w:line="276" w:lineRule="auto"/>
        <w:jc w:val="both"/>
        <w:rPr>
          <w:b/>
        </w:rPr>
      </w:pPr>
      <w:r>
        <w:t xml:space="preserve">Le décret précité apporte une dérogation rétroactive à cette règle : dès lors, pour l’attribution des postes lors de l’année scolaire 2018-2019, l’ancienneté acquise par les maîtres de psychomotricité ACS/APE sera recalculée avec effet rétroactif </w:t>
      </w:r>
      <w:r>
        <w:rPr>
          <w:b/>
          <w:u w:val="single"/>
        </w:rPr>
        <w:t>sans qu’il ne soit appliqué ce coefficient réducteur sur leurs 1200 jours de services rendus</w:t>
      </w:r>
      <w:r>
        <w:rPr>
          <w:b/>
        </w:rPr>
        <w:t xml:space="preserve">. </w:t>
      </w:r>
    </w:p>
    <w:p>
      <w:pPr>
        <w:spacing w:after="0" w:line="276" w:lineRule="auto"/>
        <w:jc w:val="both"/>
      </w:pPr>
    </w:p>
    <w:p>
      <w:pPr>
        <w:spacing w:after="0" w:line="276" w:lineRule="auto"/>
        <w:jc w:val="both"/>
      </w:pPr>
      <w:r>
        <w:t>Par conséquent, pour le calcul de l’ancienneté, qui déterminera les priorités dans l’attribution des emplois organiques dans la fonction de maître de psychomotricité, tous les membres du personnel relevant d’une des quatre catégories visée au Chapitre II seront mis sur un pied d’égalité.</w:t>
      </w:r>
    </w:p>
    <w:p>
      <w:pPr>
        <w:spacing w:after="0" w:line="276" w:lineRule="auto"/>
        <w:jc w:val="both"/>
      </w:pPr>
    </w:p>
    <w:p>
      <w:pPr>
        <w:spacing w:after="0" w:line="276" w:lineRule="auto"/>
        <w:jc w:val="both"/>
      </w:pPr>
      <w:r>
        <w:t xml:space="preserve">Le nouveau montant global de l’ancienneté des maîtres de psychomotricité ACS/APE, après ce </w:t>
      </w:r>
      <w:proofErr w:type="spellStart"/>
      <w:r>
        <w:t>recalcul</w:t>
      </w:r>
      <w:proofErr w:type="spellEnd"/>
      <w:r>
        <w:t xml:space="preserve">, sera acquis par ceux-ci, non seulement au moment où le pouvoir organisateur établira les classements en vue de l’attribution des postes lors de l’année scolaire 2018-2019, </w:t>
      </w:r>
      <w:r>
        <w:rPr>
          <w:b/>
        </w:rPr>
        <w:t>mais également pour la suite de leur carrière.</w:t>
      </w:r>
    </w:p>
    <w:p>
      <w:pPr>
        <w:spacing w:after="0" w:line="276" w:lineRule="auto"/>
        <w:jc w:val="both"/>
        <w:rPr>
          <w:sz w:val="24"/>
        </w:rPr>
      </w:pPr>
    </w:p>
    <w:p>
      <w:pPr>
        <w:spacing w:after="0" w:line="276" w:lineRule="auto"/>
        <w:jc w:val="both"/>
        <w:rPr>
          <w:sz w:val="24"/>
        </w:rPr>
      </w:pPr>
    </w:p>
    <w:p>
      <w:pPr>
        <w:pStyle w:val="Titre3"/>
        <w:numPr>
          <w:ilvl w:val="1"/>
          <w:numId w:val="8"/>
        </w:numPr>
      </w:pPr>
      <w:bookmarkStart w:id="39" w:name="_Toc515540752"/>
      <w:r>
        <w:lastRenderedPageBreak/>
        <w:t>Valorisation de l’ancienneté auprès de chacun ou certains des pouvoirs organisateurs ayant employé le membre du personnel dans le cadre des emplois partagés</w:t>
      </w:r>
      <w:bookmarkEnd w:id="39"/>
    </w:p>
    <w:p>
      <w:pPr>
        <w:spacing w:line="276" w:lineRule="auto"/>
        <w:jc w:val="both"/>
      </w:pPr>
      <w:r>
        <w:t xml:space="preserve">Dans le cadre de l’attribution des emplois ACS/APE, il est arrivé qu’un même emploi soit attribué, par dépêche, à un seul pouvoir organisateur, mais que dans les faits, les prestations des membres du personnel soient partagées entre plusieurs employeurs. Dans un tel cas, l’ancienneté des membres du personnel n’est acquise globalement qu’auprès du pouvoir organisateur porteur de la dépêche d’attribution de l’emploi. Le décret précité apporte une dérogation à cette règle, pour le calcul de l’ancienneté des maîtres de psychomotricité concernés, en vue de l’attribution des emplois de maître de psychomotricité lors de l’année scolaire 2018-2019. </w:t>
      </w:r>
    </w:p>
    <w:p>
      <w:pPr>
        <w:pStyle w:val="Titre4"/>
        <w:numPr>
          <w:ilvl w:val="2"/>
          <w:numId w:val="8"/>
        </w:numPr>
      </w:pPr>
      <w:bookmarkStart w:id="40" w:name="_Toc515540753"/>
      <w:r>
        <w:t>Faculté offerte au membre du personnel à sa demande dûment documentée</w:t>
      </w:r>
      <w:bookmarkEnd w:id="40"/>
    </w:p>
    <w:p>
      <w:pPr>
        <w:spacing w:after="0" w:line="276" w:lineRule="auto"/>
        <w:jc w:val="both"/>
      </w:pPr>
      <w:r>
        <w:t>Pour l’attribution des emplois organiques de maître de psychomotricité lors de l’année scolaire 2018-2019, le maître de psychomotricité ACS/APE qui exerce sa fonction auprès de plusieurs pouvoirs organisateurs dans le cadre d’un emploi partagé</w:t>
      </w:r>
      <w:r>
        <w:rPr>
          <w:rStyle w:val="Appelnotedebasdep"/>
        </w:rPr>
        <w:footnoteReference w:id="8"/>
      </w:r>
      <w:r>
        <w:t xml:space="preserve"> aura la possibilité de faire valoriser son ancienneté auprès de chacun ou certains des pouvoirs organisateurs au sein desquels il a exercé sa fonction, et plus uniquement auprès du pouvoir organisateur porteur</w:t>
      </w:r>
      <w:r>
        <w:rPr>
          <w:rStyle w:val="Appelnotedebasdep"/>
        </w:rPr>
        <w:footnoteReference w:id="9"/>
      </w:r>
      <w:r>
        <w:t xml:space="preserve"> de la dépêche d’attribution</w:t>
      </w:r>
      <w:r>
        <w:rPr>
          <w:rStyle w:val="Appelnotedebasdep"/>
        </w:rPr>
        <w:footnoteReference w:id="10"/>
      </w:r>
      <w:r>
        <w:t xml:space="preserve">. </w:t>
      </w:r>
    </w:p>
    <w:p>
      <w:pPr>
        <w:spacing w:after="0" w:line="276" w:lineRule="auto"/>
        <w:jc w:val="both"/>
      </w:pPr>
    </w:p>
    <w:p>
      <w:pPr>
        <w:spacing w:after="0" w:line="276" w:lineRule="auto"/>
        <w:jc w:val="both"/>
      </w:pPr>
      <w:r>
        <w:t>Le maitre de psychomotricité ACS/APE fera le choix d’activer ou non ce mécanisme au moment d’introduire son(ses) acte(s) de candidature en vue d’une désignation à titre temporaire.</w:t>
      </w:r>
    </w:p>
    <w:p>
      <w:pPr>
        <w:spacing w:after="0" w:line="276" w:lineRule="auto"/>
        <w:jc w:val="both"/>
      </w:pPr>
    </w:p>
    <w:p>
      <w:pPr>
        <w:spacing w:after="0" w:line="276" w:lineRule="auto"/>
        <w:jc w:val="both"/>
      </w:pPr>
      <w:r>
        <w:rPr>
          <w:b/>
        </w:rPr>
        <w:t>Il devra, à cette fin, faire usage du</w:t>
      </w:r>
      <w:r>
        <w:t xml:space="preserve"> </w:t>
      </w:r>
      <w:r>
        <w:rPr>
          <w:b/>
        </w:rPr>
        <w:t xml:space="preserve">formulaire d’acte de candidature pour les maitres de psychomotricité ACS/APE, fourni à </w:t>
      </w:r>
      <w:r>
        <w:rPr>
          <w:b/>
          <w:u w:val="single"/>
        </w:rPr>
        <w:t>l’annexe 3</w:t>
      </w:r>
      <w:r>
        <w:rPr>
          <w:b/>
        </w:rPr>
        <w:t xml:space="preserve"> de la présente circulaire et bien veiller à en remplir le volet II</w:t>
      </w:r>
      <w:r>
        <w:t>.</w:t>
      </w:r>
    </w:p>
    <w:p>
      <w:pPr>
        <w:spacing w:after="0" w:line="276" w:lineRule="auto"/>
        <w:jc w:val="both"/>
      </w:pPr>
    </w:p>
    <w:p>
      <w:pPr>
        <w:spacing w:after="0" w:line="276" w:lineRule="auto"/>
        <w:jc w:val="both"/>
      </w:pPr>
      <w:r>
        <w:t xml:space="preserve">Le membre du personnel qui souhaite faire valoriser ses services accomplis en qualité de maître de psychomotricité ACS/APE auprès de chacun ou certains des pouvoirs organisateurs au sein duquel il a exercé sa fonction dans le cadre d’un emploi partagé, introduira via ce formulaire, auprès de chacun des pouvoirs organisateurs concernés, un acte de candidature à la désignation à titre temporaire pour le 30 juin 2018 au plus tard. Cette demande devra être </w:t>
      </w:r>
      <w:r>
        <w:rPr>
          <w:b/>
        </w:rPr>
        <w:t>dûment justifiée et documentée</w:t>
      </w:r>
      <w:r>
        <w:rPr>
          <w:rStyle w:val="Appelnotedebasdep"/>
          <w:b/>
        </w:rPr>
        <w:footnoteReference w:id="11"/>
      </w:r>
      <w:r>
        <w:t>. Les documents justificatifs ne seront pas nécessairement joints à l’acte de candidature mentionné au paragraphe précédent, mais pourront le cas échéant, être présentés séparément aux pouvoirs organisateurs concernés pour le 6 juillet 2018 au plus tard</w:t>
      </w:r>
      <w:r>
        <w:rPr>
          <w:rStyle w:val="Appelnotedebasdep"/>
        </w:rPr>
        <w:footnoteReference w:id="12"/>
      </w:r>
      <w:r>
        <w:t xml:space="preserve">. À titre d’exemple, l’attestation de service - fournie par le pouvoir organisateur au membre du personnel à la fin de son contrat, conforme à l’annexe 54 de la Circulaire de rentrée des membres du personnel de l’enseignement </w:t>
      </w:r>
      <w:r>
        <w:lastRenderedPageBreak/>
        <w:t>fondamental ordinaire et spécialisé du 30 juin 2017</w:t>
      </w:r>
      <w:r>
        <w:rPr>
          <w:rStyle w:val="Appelnotedebasdep"/>
        </w:rPr>
        <w:footnoteReference w:id="13"/>
      </w:r>
      <w:r>
        <w:t xml:space="preserve"> -, constitue un document administratif probant admissible en vue de faire valoriser les services prestés par le membre du personnel auprès des autres pouvoirs organisateurs que le pouvoir organisateur porteur de la dépêche d’attribution.</w:t>
      </w:r>
    </w:p>
    <w:p>
      <w:pPr>
        <w:spacing w:after="0" w:line="276" w:lineRule="auto"/>
        <w:jc w:val="both"/>
        <w:rPr>
          <w:sz w:val="24"/>
        </w:rPr>
      </w:pPr>
    </w:p>
    <w:p>
      <w:pPr>
        <w:pStyle w:val="Titre4"/>
        <w:numPr>
          <w:ilvl w:val="2"/>
          <w:numId w:val="8"/>
        </w:numPr>
      </w:pPr>
      <w:bookmarkStart w:id="41" w:name="_Toc515540754"/>
      <w:r>
        <w:t>Premier cas de figure : le membre du personnel en fait la demande</w:t>
      </w:r>
      <w:bookmarkEnd w:id="41"/>
    </w:p>
    <w:p>
      <w:pPr>
        <w:spacing w:after="0" w:line="276" w:lineRule="auto"/>
        <w:jc w:val="both"/>
      </w:pPr>
      <w:r>
        <w:t xml:space="preserve">Si le membre du personnel demande à ce que son ancienneté soit valorisée auprès d’un autre pouvoir organisateur que celui porteur de la dépêche dans le cadre d’un emploi partagé, les services qu’il a accomplis en qualité de maître de psychomotricité ACS/APE seront désormais valorisés au sein de chacun des pouvoirs organisateurs auprès desquels il fait acte de candidature, </w:t>
      </w:r>
      <w:r>
        <w:rPr>
          <w:b/>
          <w:u w:val="single"/>
        </w:rPr>
        <w:t>au prorata de la charge réelle prestée dans chacun</w:t>
      </w:r>
      <w:r>
        <w:rPr>
          <w:b/>
        </w:rPr>
        <w:t>.</w:t>
      </w:r>
    </w:p>
    <w:p>
      <w:pPr>
        <w:spacing w:after="0" w:line="276" w:lineRule="auto"/>
        <w:jc w:val="both"/>
      </w:pPr>
      <w:r>
        <w:t xml:space="preserve">Dans ce cas, son ancienneté acquise dans le pouvoir organisateur porteur de la dépêche devra, elle aussi, faire l’objet d’un </w:t>
      </w:r>
      <w:proofErr w:type="spellStart"/>
      <w:r>
        <w:t>recalcul</w:t>
      </w:r>
      <w:proofErr w:type="spellEnd"/>
      <w:r>
        <w:t xml:space="preserve"> si le volume de ses prestations afférentes à ce seul pouvoir organisateur est inférieur à un mi-temps.</w:t>
      </w:r>
    </w:p>
    <w:p>
      <w:pPr>
        <w:spacing w:after="0" w:line="276" w:lineRule="auto"/>
        <w:jc w:val="both"/>
      </w:pPr>
    </w:p>
    <w:p>
      <w:pPr>
        <w:spacing w:after="0" w:line="276" w:lineRule="auto"/>
        <w:jc w:val="both"/>
        <w:rPr>
          <w:i/>
        </w:rPr>
      </w:pPr>
      <w:r>
        <w:rPr>
          <w:i/>
        </w:rPr>
        <w:t>Exemples (pour chaque exemple, le PO porteur de la dépêche est le PO A ; l’ancienneté pour l’année 2017-2018 étant arrêtée à la date du 30 juin 2018, conformément à l’article 34, §1er, du décret du 6 juin 1994)</w:t>
      </w:r>
      <w:r>
        <w:rPr>
          <w:rStyle w:val="Appelnotedebasdep"/>
          <w:i/>
        </w:rPr>
        <w:footnoteReference w:id="14"/>
      </w:r>
      <w:r>
        <w:rPr>
          <w:i/>
        </w:rPr>
        <w:t> :</w:t>
      </w:r>
    </w:p>
    <w:p>
      <w:pPr>
        <w:pStyle w:val="Paragraphedeliste"/>
        <w:numPr>
          <w:ilvl w:val="0"/>
          <w:numId w:val="13"/>
        </w:numPr>
        <w:spacing w:after="0" w:line="240" w:lineRule="auto"/>
        <w:jc w:val="both"/>
        <w:rPr>
          <w:i/>
        </w:rPr>
      </w:pPr>
      <w:r>
        <w:rPr>
          <w:i/>
        </w:rPr>
        <w:t xml:space="preserve">Le membre du personnel a presté dans le PO A et le PO B de manière simultanée au cours des 3 dernières années scolaires pour une demi-charge (13 périodes) dans chacun des PO. </w:t>
      </w:r>
    </w:p>
    <w:p>
      <w:pPr>
        <w:spacing w:after="0" w:line="240" w:lineRule="auto"/>
        <w:ind w:left="708"/>
        <w:jc w:val="both"/>
        <w:rPr>
          <w:i/>
        </w:rPr>
      </w:pPr>
      <w:r>
        <w:rPr>
          <w:i/>
        </w:rPr>
        <w:t>Dans chaque PO, il pourra demander de valoriser, au terme des trois années scolaires, 900 jours d’ancienneté (3 x 300 jours)</w:t>
      </w:r>
      <w:r>
        <w:rPr>
          <w:rStyle w:val="Appelnotedebasdep"/>
          <w:i/>
        </w:rPr>
        <w:footnoteReference w:id="15"/>
      </w:r>
      <w:r>
        <w:rPr>
          <w:i/>
        </w:rPr>
        <w:t>.</w:t>
      </w:r>
    </w:p>
    <w:p>
      <w:pPr>
        <w:spacing w:after="0" w:line="240" w:lineRule="auto"/>
        <w:jc w:val="both"/>
        <w:rPr>
          <w:i/>
        </w:rPr>
      </w:pPr>
    </w:p>
    <w:p>
      <w:pPr>
        <w:pStyle w:val="Paragraphedeliste"/>
        <w:numPr>
          <w:ilvl w:val="0"/>
          <w:numId w:val="13"/>
        </w:numPr>
        <w:spacing w:after="0" w:line="240" w:lineRule="auto"/>
        <w:jc w:val="both"/>
        <w:rPr>
          <w:i/>
        </w:rPr>
      </w:pPr>
      <w:r>
        <w:rPr>
          <w:i/>
        </w:rPr>
        <w:t xml:space="preserve">Le membre du personnel a presté, lors de l’année scolaire 2015-2016 dans le PO A, PO B, et PO C. Lors des années scolaires 2016-2017 et 2017-2018, il a presté dans le PO A, PO C, et PO D. </w:t>
      </w:r>
    </w:p>
    <w:p>
      <w:pPr>
        <w:pStyle w:val="Paragraphedeliste"/>
        <w:spacing w:after="0" w:line="240" w:lineRule="auto"/>
        <w:ind w:left="708"/>
        <w:jc w:val="both"/>
        <w:rPr>
          <w:i/>
        </w:rPr>
      </w:pPr>
    </w:p>
    <w:p>
      <w:pPr>
        <w:spacing w:after="0" w:line="240" w:lineRule="auto"/>
        <w:ind w:left="708"/>
        <w:jc w:val="both"/>
        <w:rPr>
          <w:i/>
        </w:rPr>
      </w:pPr>
      <w:r>
        <w:rPr>
          <w:i/>
        </w:rPr>
        <w:t>Le volume des charges est réparti comme suit entre chaque PO : PO A (12/26), PO B (3/26), PO C (3/26), PO D (3/26).</w:t>
      </w:r>
    </w:p>
    <w:p>
      <w:pPr>
        <w:spacing w:after="0" w:line="240" w:lineRule="auto"/>
        <w:jc w:val="both"/>
        <w:rPr>
          <w:i/>
        </w:rPr>
      </w:pPr>
    </w:p>
    <w:p>
      <w:pPr>
        <w:spacing w:after="0" w:line="240" w:lineRule="auto"/>
        <w:ind w:left="708"/>
        <w:jc w:val="both"/>
        <w:rPr>
          <w:i/>
        </w:rPr>
      </w:pPr>
      <w:r>
        <w:rPr>
          <w:i/>
        </w:rPr>
        <w:t xml:space="preserve">Au terme de l’année scolaire 2017-2018, en cas de demande de valorisation de l’ancienneté dans les autres PO, il comptabilisera : </w:t>
      </w:r>
    </w:p>
    <w:p>
      <w:pPr>
        <w:spacing w:after="0" w:line="240" w:lineRule="auto"/>
        <w:jc w:val="both"/>
        <w:rPr>
          <w:i/>
        </w:rPr>
      </w:pPr>
    </w:p>
    <w:p>
      <w:pPr>
        <w:spacing w:after="0" w:line="240" w:lineRule="auto"/>
        <w:jc w:val="both"/>
        <w:rPr>
          <w:i/>
        </w:rPr>
      </w:pPr>
      <w:r>
        <w:rPr>
          <w:i/>
        </w:rPr>
        <w:t>-</w:t>
      </w:r>
      <w:r>
        <w:rPr>
          <w:i/>
        </w:rPr>
        <w:tab/>
        <w:t>Dans le PO A : 450 jours d’ancienneté (3 x 150 jours) ;</w:t>
      </w:r>
    </w:p>
    <w:p>
      <w:pPr>
        <w:spacing w:after="0" w:line="240" w:lineRule="auto"/>
        <w:jc w:val="both"/>
        <w:rPr>
          <w:i/>
        </w:rPr>
      </w:pPr>
      <w:r>
        <w:rPr>
          <w:i/>
        </w:rPr>
        <w:t>-</w:t>
      </w:r>
      <w:r>
        <w:rPr>
          <w:i/>
        </w:rPr>
        <w:tab/>
        <w:t>Dans le PO B : 150 jours d’ancienneté (1 x 150 jours) ;</w:t>
      </w:r>
    </w:p>
    <w:p>
      <w:pPr>
        <w:spacing w:after="0" w:line="240" w:lineRule="auto"/>
        <w:jc w:val="both"/>
        <w:rPr>
          <w:i/>
        </w:rPr>
      </w:pPr>
      <w:r>
        <w:rPr>
          <w:i/>
        </w:rPr>
        <w:t>-</w:t>
      </w:r>
      <w:r>
        <w:rPr>
          <w:i/>
        </w:rPr>
        <w:tab/>
        <w:t>Dans le PO C : 450 jours d’ancienneté (3 x 150 jours) ;</w:t>
      </w:r>
    </w:p>
    <w:p>
      <w:pPr>
        <w:spacing w:after="0" w:line="240" w:lineRule="auto"/>
        <w:jc w:val="both"/>
        <w:rPr>
          <w:i/>
        </w:rPr>
      </w:pPr>
      <w:r>
        <w:rPr>
          <w:i/>
        </w:rPr>
        <w:t>-</w:t>
      </w:r>
      <w:r>
        <w:rPr>
          <w:i/>
        </w:rPr>
        <w:tab/>
        <w:t>Dans le PO D : 300 jours d’ancienneté (2 x 150 jours)</w:t>
      </w:r>
      <w:r>
        <w:rPr>
          <w:rStyle w:val="Appelnotedebasdep"/>
          <w:i/>
        </w:rPr>
        <w:footnoteReference w:id="16"/>
      </w:r>
      <w:r>
        <w:rPr>
          <w:i/>
        </w:rPr>
        <w:t>.</w:t>
      </w:r>
    </w:p>
    <w:p>
      <w:pPr>
        <w:spacing w:after="0" w:line="240" w:lineRule="auto"/>
        <w:jc w:val="both"/>
      </w:pPr>
    </w:p>
    <w:p>
      <w:pPr>
        <w:spacing w:after="0" w:line="240" w:lineRule="auto"/>
        <w:jc w:val="both"/>
      </w:pPr>
    </w:p>
    <w:p>
      <w:pPr>
        <w:pStyle w:val="Titre4"/>
        <w:numPr>
          <w:ilvl w:val="2"/>
          <w:numId w:val="8"/>
        </w:numPr>
      </w:pPr>
      <w:bookmarkStart w:id="42" w:name="_Toc515540755"/>
      <w:r>
        <w:t>Deuxième cas de figure : le membre du personnel n’en fait pas la demande</w:t>
      </w:r>
      <w:bookmarkEnd w:id="42"/>
    </w:p>
    <w:p>
      <w:pPr>
        <w:spacing w:after="0" w:line="276" w:lineRule="auto"/>
        <w:jc w:val="both"/>
      </w:pPr>
      <w:r>
        <w:lastRenderedPageBreak/>
        <w:t xml:space="preserve">Si le membre du personnel ne demande pas à ce que son ancienneté soit valorisée auprès de chacun ou certains des pouvoirs organisateurs auprès desquels il a exercé sa fonction dans le cadre d’un emploi partagé, sa charge globale sera valorisée entièrement auprès du pouvoir organisateur porteur de la dépêche d’attribution, et ce, quelle que soit la charge effective qu’il prestait en son sein. </w:t>
      </w:r>
    </w:p>
    <w:p>
      <w:pPr>
        <w:spacing w:after="0" w:line="276" w:lineRule="auto"/>
        <w:jc w:val="both"/>
      </w:pPr>
    </w:p>
    <w:p>
      <w:pPr>
        <w:spacing w:after="0" w:line="240" w:lineRule="auto"/>
        <w:jc w:val="both"/>
        <w:rPr>
          <w:i/>
        </w:rPr>
      </w:pPr>
      <w:r>
        <w:rPr>
          <w:i/>
        </w:rPr>
        <w:t>Exemples (pour chaque exemple, le PO porteur de la dépêche est le PO A ; l’ancienneté pour l’année 2017-2018 étant arrêtée à la date du 30 juin 2018, conformément à l’article 34, §1er, du décret du 6 juin 1994)</w:t>
      </w:r>
      <w:r>
        <w:rPr>
          <w:rStyle w:val="Appelnotedebasdep"/>
          <w:i/>
        </w:rPr>
        <w:footnoteReference w:id="17"/>
      </w:r>
      <w:r>
        <w:rPr>
          <w:i/>
        </w:rPr>
        <w:t> :</w:t>
      </w:r>
    </w:p>
    <w:p>
      <w:pPr>
        <w:spacing w:after="0" w:line="240" w:lineRule="auto"/>
        <w:jc w:val="both"/>
        <w:rPr>
          <w:i/>
        </w:rPr>
      </w:pPr>
    </w:p>
    <w:p>
      <w:pPr>
        <w:pStyle w:val="Paragraphedeliste"/>
        <w:numPr>
          <w:ilvl w:val="0"/>
          <w:numId w:val="25"/>
        </w:numPr>
        <w:spacing w:after="0" w:line="240" w:lineRule="auto"/>
        <w:jc w:val="both"/>
        <w:rPr>
          <w:i/>
        </w:rPr>
      </w:pPr>
      <w:r>
        <w:rPr>
          <w:i/>
        </w:rPr>
        <w:t xml:space="preserve">Le membre du personnel a presté dans le PO A et le PO B de manière simultanée au cours des 3 dernières années scolaires pour une demi-charge (13 périodes) dans chacun des PO. </w:t>
      </w:r>
    </w:p>
    <w:p>
      <w:pPr>
        <w:pStyle w:val="Paragraphedeliste"/>
        <w:spacing w:after="0" w:line="240" w:lineRule="auto"/>
        <w:ind w:left="1065"/>
        <w:jc w:val="both"/>
        <w:rPr>
          <w:i/>
        </w:rPr>
      </w:pPr>
    </w:p>
    <w:p>
      <w:pPr>
        <w:spacing w:after="0" w:line="240" w:lineRule="auto"/>
        <w:ind w:left="1065"/>
        <w:jc w:val="both"/>
        <w:rPr>
          <w:i/>
        </w:rPr>
      </w:pPr>
      <w:r>
        <w:rPr>
          <w:i/>
        </w:rPr>
        <w:t>À défaut de demande de valorisation de l’ancienneté dans les autres PO, il comptabilisera 900 jours dans le PO A et 0 jour dans le PO B.</w:t>
      </w:r>
    </w:p>
    <w:p>
      <w:pPr>
        <w:spacing w:after="0" w:line="240" w:lineRule="auto"/>
        <w:ind w:left="1065"/>
        <w:jc w:val="both"/>
        <w:rPr>
          <w:i/>
        </w:rPr>
      </w:pPr>
    </w:p>
    <w:p>
      <w:pPr>
        <w:pStyle w:val="Paragraphedeliste"/>
        <w:numPr>
          <w:ilvl w:val="0"/>
          <w:numId w:val="25"/>
        </w:numPr>
        <w:spacing w:after="0" w:line="240" w:lineRule="auto"/>
        <w:jc w:val="both"/>
        <w:rPr>
          <w:i/>
        </w:rPr>
      </w:pPr>
      <w:r>
        <w:rPr>
          <w:i/>
        </w:rPr>
        <w:t xml:space="preserve">Le membre du personnel a presté, lors de l’année scolaire 2015-2016 dans le PO A, PO B, et PO C. Lors des années scolaires 2016-2017 et 2017-2018, il a presté dans le PO A, PO C, et PO D. </w:t>
      </w:r>
    </w:p>
    <w:p>
      <w:pPr>
        <w:pStyle w:val="Paragraphedeliste"/>
        <w:spacing w:after="0" w:line="240" w:lineRule="auto"/>
        <w:ind w:left="1065"/>
        <w:jc w:val="both"/>
        <w:rPr>
          <w:i/>
        </w:rPr>
      </w:pPr>
    </w:p>
    <w:p>
      <w:pPr>
        <w:spacing w:after="0" w:line="240" w:lineRule="auto"/>
        <w:ind w:left="1065"/>
        <w:jc w:val="both"/>
        <w:rPr>
          <w:i/>
        </w:rPr>
      </w:pPr>
      <w:r>
        <w:rPr>
          <w:i/>
        </w:rPr>
        <w:t>Le volume des charges est réparti comme suit entre chaque PO : PO A (12/26), PO B (3/26), PO C (3/26), PO D (3/26).</w:t>
      </w:r>
    </w:p>
    <w:p>
      <w:pPr>
        <w:spacing w:after="0" w:line="240" w:lineRule="auto"/>
        <w:jc w:val="both"/>
        <w:rPr>
          <w:i/>
        </w:rPr>
      </w:pPr>
    </w:p>
    <w:p>
      <w:pPr>
        <w:spacing w:after="0" w:line="240" w:lineRule="auto"/>
        <w:ind w:left="1065"/>
        <w:jc w:val="both"/>
        <w:rPr>
          <w:i/>
        </w:rPr>
      </w:pPr>
      <w:r>
        <w:rPr>
          <w:i/>
        </w:rPr>
        <w:t>Au terme de l’année scolaire 2017-2018, à défaut de demande de valorisation de l’ancienneté dans les autres PO, il comptabilisera 900 jours d’ancienneté (3 x 300 jours) dans le PO A et 0 jour d’ancienneté dans les autres PO.</w:t>
      </w:r>
    </w:p>
    <w:p>
      <w:pPr>
        <w:rPr>
          <w:i/>
        </w:rPr>
      </w:pPr>
      <w:r>
        <w:rPr>
          <w:i/>
        </w:rPr>
        <w:br w:type="page"/>
      </w:r>
    </w:p>
    <w:p>
      <w:pPr>
        <w:pStyle w:val="Titre1"/>
        <w:rPr>
          <w:rFonts w:ascii="Segoe UI Symbol" w:hAnsi="Segoe UI Symbol"/>
        </w:rPr>
      </w:pPr>
      <w:bookmarkStart w:id="43" w:name="_Toc515540756"/>
      <w:r>
        <w:lastRenderedPageBreak/>
        <w:t>CHAPITRE IV - PROCÉDURE PARTICULIÈRE DE DÉSIGNATION À TITRE TEMPORAIRE LORS DE L’ANNÉE SCOLAIRE 2018-2019</w:t>
      </w:r>
      <w:bookmarkEnd w:id="43"/>
    </w:p>
    <w:p/>
    <w:p>
      <w:pPr>
        <w:pStyle w:val="Titre2"/>
        <w:numPr>
          <w:ilvl w:val="0"/>
          <w:numId w:val="23"/>
        </w:numPr>
      </w:pPr>
      <w:bookmarkStart w:id="44" w:name="_Toc515540757"/>
      <w:r>
        <w:t>Conditions à réunir pour bénéficier d’une désignation à titre temporaire dans les emplois de maître de psychomotricité dans l’enseignement fondamental ordinaire lors de l’année scolaire 2018-2019</w:t>
      </w:r>
      <w:bookmarkEnd w:id="44"/>
    </w:p>
    <w:p>
      <w:pPr>
        <w:pStyle w:val="Sansinterligne"/>
      </w:pPr>
    </w:p>
    <w:p>
      <w:pPr>
        <w:pStyle w:val="Titre3"/>
        <w:numPr>
          <w:ilvl w:val="1"/>
          <w:numId w:val="23"/>
        </w:numPr>
      </w:pPr>
      <w:bookmarkStart w:id="45" w:name="_Toc515540758"/>
      <w:r>
        <w:t>Faire acte de candidature</w:t>
      </w:r>
      <w:bookmarkEnd w:id="45"/>
    </w:p>
    <w:p>
      <w:pPr>
        <w:spacing w:after="0" w:line="276" w:lineRule="auto"/>
        <w:jc w:val="both"/>
      </w:pPr>
      <w:r>
        <w:t>Pour être désigné à titre temporaire dans un emploi de maître de psychomotricité lors de l’année scolaire 2018-2019, les maîtres de psychomotricité relevant d’une des quatre catégories exposée au Chapitre II devront introduire leur candidature par lettre recommandée auprès du(des) pouvoir(s) organisateur(s) concernés pour le 30 juin 2018 au plus tard.</w:t>
      </w:r>
    </w:p>
    <w:p>
      <w:pPr>
        <w:spacing w:after="0" w:line="276" w:lineRule="auto"/>
        <w:jc w:val="both"/>
      </w:pPr>
    </w:p>
    <w:p>
      <w:pPr>
        <w:spacing w:after="0" w:line="276" w:lineRule="auto"/>
        <w:jc w:val="both"/>
      </w:pPr>
    </w:p>
    <w:p>
      <w:pPr>
        <w:pBdr>
          <w:top w:val="single" w:sz="4" w:space="0" w:color="auto"/>
          <w:left w:val="single" w:sz="4" w:space="4" w:color="auto"/>
          <w:bottom w:val="single" w:sz="4" w:space="1" w:color="auto"/>
          <w:right w:val="single" w:sz="4" w:space="4" w:color="auto"/>
        </w:pBdr>
        <w:spacing w:after="0" w:line="276" w:lineRule="auto"/>
        <w:jc w:val="center"/>
        <w:rPr>
          <w:b/>
        </w:rPr>
      </w:pPr>
      <w:r>
        <w:rPr>
          <w:b/>
        </w:rPr>
        <w:t>REMARQUE IMPORTANTE :</w:t>
      </w:r>
    </w:p>
    <w:p>
      <w:pPr>
        <w:pBdr>
          <w:top w:val="single" w:sz="4" w:space="0" w:color="auto"/>
          <w:left w:val="single" w:sz="4" w:space="4" w:color="auto"/>
          <w:bottom w:val="single" w:sz="4" w:space="1" w:color="auto"/>
          <w:right w:val="single" w:sz="4" w:space="4" w:color="auto"/>
        </w:pBdr>
        <w:spacing w:after="0" w:line="276" w:lineRule="auto"/>
        <w:rPr>
          <w:b/>
          <w:u w:val="single"/>
        </w:rPr>
      </w:pPr>
    </w:p>
    <w:p>
      <w:pPr>
        <w:pBdr>
          <w:top w:val="single" w:sz="4" w:space="0" w:color="auto"/>
          <w:left w:val="single" w:sz="4" w:space="4" w:color="auto"/>
          <w:bottom w:val="single" w:sz="4" w:space="1" w:color="auto"/>
          <w:right w:val="single" w:sz="4" w:space="4" w:color="auto"/>
        </w:pBdr>
        <w:spacing w:after="0" w:line="276" w:lineRule="auto"/>
        <w:jc w:val="both"/>
        <w:rPr>
          <w:b/>
        </w:rPr>
      </w:pPr>
      <w:r>
        <w:rPr>
          <w:u w:val="single"/>
        </w:rPr>
        <w:t xml:space="preserve">Les maitres de psychomotricité ACS/APE </w:t>
      </w:r>
      <w:r>
        <w:t xml:space="preserve">devront impérativement utiliser le </w:t>
      </w:r>
      <w:r>
        <w:rPr>
          <w:b/>
        </w:rPr>
        <w:t>formulaire de candidature fourni en annexe 3</w:t>
      </w:r>
      <w:r>
        <w:t xml:space="preserve"> de la présente circulaire. En effet, étant donné la possibilité qui leur est offerte d’introduire une candidature à la désignation à titre temporaire, non seulement auprès du pouvoir organisateur porteur de la dépêche d’attribution, mais également auprès des autres pouvoirs organisateurs auprès desquels ils ont exercé leurs fonctions dans le cadre d’un emploi partagé</w:t>
      </w:r>
      <w:r>
        <w:rPr>
          <w:rStyle w:val="Appelnotedebasdep"/>
        </w:rPr>
        <w:footnoteReference w:id="18"/>
      </w:r>
      <w:r>
        <w:t xml:space="preserve">, il est indispensable d’utiliser le modèle de candidature fourni en annexe 3, et ce, afin d’assurer une </w:t>
      </w:r>
      <w:r>
        <w:rPr>
          <w:b/>
        </w:rPr>
        <w:t xml:space="preserve">transparence complète entre les pouvoirs organisateurs concernés. </w:t>
      </w:r>
    </w:p>
    <w:p>
      <w:pPr>
        <w:pBdr>
          <w:top w:val="single" w:sz="4" w:space="0" w:color="auto"/>
          <w:left w:val="single" w:sz="4" w:space="4" w:color="auto"/>
          <w:bottom w:val="single" w:sz="4" w:space="1" w:color="auto"/>
          <w:right w:val="single" w:sz="4" w:space="4" w:color="auto"/>
        </w:pBdr>
        <w:spacing w:after="0" w:line="276" w:lineRule="auto"/>
        <w:jc w:val="both"/>
      </w:pPr>
      <w:r>
        <w:rPr>
          <w:u w:val="single"/>
        </w:rPr>
        <w:t>Si le membre du personnel était occupé par le pouvoir organisateur porteur à concurrence de moins d’une demi charge</w:t>
      </w:r>
      <w:r>
        <w:t>, l’ancienneté sera, en effet, calculée différemment au sein du pouvoir organisateur porteur de la dépêche d’attribution, selon que le membre du personnel fait uniquement acte de candidature auprès de lui ou selon qu’il fait acte de candidature auprès d’autres pouvoirs organisateurs.</w:t>
      </w:r>
    </w:p>
    <w:p>
      <w:pPr>
        <w:pBdr>
          <w:top w:val="single" w:sz="4" w:space="0" w:color="auto"/>
          <w:left w:val="single" w:sz="4" w:space="4" w:color="auto"/>
          <w:bottom w:val="single" w:sz="4" w:space="1" w:color="auto"/>
          <w:right w:val="single" w:sz="4" w:space="4" w:color="auto"/>
        </w:pBdr>
        <w:spacing w:after="0" w:line="276" w:lineRule="auto"/>
        <w:jc w:val="both"/>
      </w:pPr>
      <w:r>
        <w:t>L’ancienneté des maîtres de psychomotricité ACS/APE, qu’ils aient exercés ou non dans le cadre d’une emploi partagé, devra par ailleurs être revue selon les éléments repris au point 2.1 dans tous les pouvoirs organisateurs auprès desquels le membre du personnel fait acte de candidature dans les temps impartis.</w:t>
      </w:r>
    </w:p>
    <w:p>
      <w:pPr>
        <w:spacing w:after="0" w:line="276" w:lineRule="auto"/>
        <w:jc w:val="both"/>
      </w:pPr>
    </w:p>
    <w:p>
      <w:pPr>
        <w:pStyle w:val="Sansinterligne"/>
      </w:pPr>
    </w:p>
    <w:p>
      <w:pPr>
        <w:pStyle w:val="Titre3"/>
        <w:numPr>
          <w:ilvl w:val="1"/>
          <w:numId w:val="23"/>
        </w:numPr>
      </w:pPr>
      <w:bookmarkStart w:id="46" w:name="_Toc515540759"/>
      <w:r>
        <w:t>Répondre aux conditions de désignation à titre temporaire</w:t>
      </w:r>
      <w:bookmarkEnd w:id="46"/>
    </w:p>
    <w:p>
      <w:pPr>
        <w:spacing w:after="0" w:line="276" w:lineRule="auto"/>
        <w:jc w:val="both"/>
      </w:pPr>
      <w:r>
        <w:t>Les membres du personnel visés au Chapitre II doivent remplir, au 30 juin 2018, les conditions suivantes :</w:t>
      </w:r>
    </w:p>
    <w:p>
      <w:pPr>
        <w:pStyle w:val="Paragraphedeliste"/>
        <w:numPr>
          <w:ilvl w:val="0"/>
          <w:numId w:val="11"/>
        </w:numPr>
        <w:spacing w:after="0" w:line="276" w:lineRule="auto"/>
        <w:jc w:val="both"/>
      </w:pPr>
      <w:r>
        <w:t>jouir des droits civils et politiques ;</w:t>
      </w:r>
    </w:p>
    <w:p>
      <w:pPr>
        <w:pStyle w:val="Paragraphedeliste"/>
        <w:numPr>
          <w:ilvl w:val="0"/>
          <w:numId w:val="11"/>
        </w:numPr>
        <w:spacing w:after="0" w:line="276" w:lineRule="auto"/>
        <w:jc w:val="both"/>
      </w:pPr>
      <w:r>
        <w:lastRenderedPageBreak/>
        <w:t>être porteur d’un des titres de capacité permettant d’exercer la fonction de maître de psychomotricité</w:t>
      </w:r>
      <w:r>
        <w:rPr>
          <w:rStyle w:val="Appelnotedebasdep"/>
        </w:rPr>
        <w:footnoteReference w:id="19"/>
      </w:r>
      <w:r>
        <w:t> ;</w:t>
      </w:r>
    </w:p>
    <w:p>
      <w:pPr>
        <w:pStyle w:val="Paragraphedeliste"/>
        <w:spacing w:after="0" w:line="276" w:lineRule="auto"/>
        <w:jc w:val="both"/>
        <w:rPr>
          <w:i/>
          <w:sz w:val="20"/>
        </w:rPr>
      </w:pPr>
      <w:r>
        <w:rPr>
          <w:i/>
          <w:iCs/>
          <w:sz w:val="20"/>
        </w:rPr>
        <w:t>Remarque : Concernant les  titres de capacité, il est rappelé les membres du personnel peuvent disposer d’un titre sur base du régime transitoire établi par le décret du 11 janvier 2014 réglementant les titres et fonctions dans l'enseignement fondamental et secondaire organisé et subventionné par la Communauté française. Le régime transitoire est détaillé dans la circulaire générale n°6409 du 20 octobre 2017 relative à la réforme des titres et fonctions. </w:t>
      </w:r>
    </w:p>
    <w:p>
      <w:pPr>
        <w:pStyle w:val="Paragraphedeliste"/>
        <w:numPr>
          <w:ilvl w:val="0"/>
          <w:numId w:val="11"/>
        </w:numPr>
        <w:spacing w:after="0" w:line="276" w:lineRule="auto"/>
        <w:jc w:val="both"/>
      </w:pPr>
      <w:r>
        <w:t>satisfaire aux dispositions légales et réglementaires relatives au régime linguistique ;</w:t>
      </w:r>
    </w:p>
    <w:p>
      <w:pPr>
        <w:pStyle w:val="Paragraphedeliste"/>
        <w:numPr>
          <w:ilvl w:val="0"/>
          <w:numId w:val="11"/>
        </w:numPr>
        <w:spacing w:after="0" w:line="276" w:lineRule="auto"/>
        <w:jc w:val="both"/>
      </w:pPr>
      <w:r>
        <w:t>être de conduite irréprochable ;</w:t>
      </w:r>
    </w:p>
    <w:p>
      <w:pPr>
        <w:pStyle w:val="Paragraphedeliste"/>
        <w:numPr>
          <w:ilvl w:val="0"/>
          <w:numId w:val="11"/>
        </w:numPr>
        <w:spacing w:after="0" w:line="276" w:lineRule="auto"/>
        <w:jc w:val="both"/>
      </w:pPr>
      <w:r>
        <w:t>satisfaire aux lois sur la milice.</w:t>
      </w:r>
    </w:p>
    <w:p>
      <w:pPr>
        <w:pStyle w:val="Sansinterligne"/>
      </w:pPr>
    </w:p>
    <w:p>
      <w:pPr>
        <w:pStyle w:val="Titre3"/>
        <w:numPr>
          <w:ilvl w:val="1"/>
          <w:numId w:val="23"/>
        </w:numPr>
      </w:pPr>
      <w:bookmarkStart w:id="47" w:name="_Toc515540760"/>
      <w:r>
        <w:t>Situation des membres du personnel non visés au Chapitre II</w:t>
      </w:r>
      <w:bookmarkEnd w:id="47"/>
      <w:r>
        <w:t xml:space="preserve"> </w:t>
      </w:r>
    </w:p>
    <w:p>
      <w:pPr>
        <w:spacing w:after="0" w:line="276" w:lineRule="auto"/>
        <w:jc w:val="both"/>
        <w:rPr>
          <w:szCs w:val="24"/>
        </w:rPr>
      </w:pPr>
      <w:r>
        <w:rPr>
          <w:szCs w:val="24"/>
        </w:rPr>
        <w:t>Les membres du personnel ne relevant pas d’une des quatre catégories visée au Chapitre II peuvent introduire leur candidature en vue d’une désignation auprès de leur pouvoir organisateur selon les règles statutaires habituelles</w:t>
      </w:r>
      <w:r>
        <w:rPr>
          <w:rStyle w:val="Appelnotedebasdep"/>
          <w:szCs w:val="24"/>
        </w:rPr>
        <w:footnoteReference w:id="20"/>
      </w:r>
      <w:r>
        <w:rPr>
          <w:szCs w:val="24"/>
        </w:rPr>
        <w:t xml:space="preserve">. Toutefois, leur candidature ne sera prise en compte, pour l’attribution des emplois de maîtres de psychomotricité, qu’après que les procédures visées aux points 2.1. et 2.2. exposés ci-dessous auront été respectées. Concrètement, ceux-ci ne développeront de droits sur les emplois de maître de psychomotricité lors de l’année scolaire 2018-2019 que lorsque les membres du personnel relevant d’une des quatre catégories visée au Chapitre II  auront été servis, conformément aux procédures visées aux points 2.1. et 2.2.  </w:t>
      </w:r>
    </w:p>
    <w:p>
      <w:pPr>
        <w:spacing w:after="0" w:line="240" w:lineRule="auto"/>
        <w:jc w:val="both"/>
      </w:pPr>
    </w:p>
    <w:p>
      <w:pPr>
        <w:pStyle w:val="Titre3"/>
        <w:numPr>
          <w:ilvl w:val="1"/>
          <w:numId w:val="23"/>
        </w:numPr>
      </w:pPr>
      <w:bookmarkStart w:id="48" w:name="_Toc513627087"/>
      <w:bookmarkStart w:id="49" w:name="_Toc515540761"/>
      <w:r>
        <w:t>Modalités pratiques des introductions de demandes d’avance pour les anciens maitres de psychomotricité ACS/APE - Mentions particulières sur le FOND12</w:t>
      </w:r>
      <w:bookmarkEnd w:id="48"/>
      <w:bookmarkEnd w:id="49"/>
    </w:p>
    <w:p>
      <w:pPr>
        <w:spacing w:after="0" w:line="276" w:lineRule="auto"/>
        <w:jc w:val="both"/>
        <w:rPr>
          <w:szCs w:val="24"/>
          <w:highlight w:val="yellow"/>
        </w:rPr>
      </w:pPr>
    </w:p>
    <w:p>
      <w:pPr>
        <w:spacing w:line="276" w:lineRule="auto"/>
        <w:jc w:val="both"/>
        <w:rPr>
          <w:szCs w:val="20"/>
        </w:rPr>
      </w:pPr>
      <w:r>
        <w:rPr>
          <w:szCs w:val="20"/>
        </w:rPr>
        <w:t>Les demandes d’avances (FOND12) qui seront établies par les pouvoirs organisateurs à la rentrée 2018-2019, pour les anciens maitres de psychomotricité ACS/APE désignés en tant que membre du personnel temporaire</w:t>
      </w:r>
      <w:r>
        <w:rPr>
          <w:rStyle w:val="Appelnotedebasdep"/>
          <w:szCs w:val="20"/>
        </w:rPr>
        <w:footnoteReference w:customMarkFollows="1" w:id="21"/>
        <w:t>[1]</w:t>
      </w:r>
      <w:r>
        <w:rPr>
          <w:szCs w:val="20"/>
        </w:rPr>
        <w:t xml:space="preserve"> dans les nouveau</w:t>
      </w:r>
      <w:r>
        <w:rPr>
          <w:color w:val="1F497D"/>
          <w:szCs w:val="20"/>
        </w:rPr>
        <w:t>x</w:t>
      </w:r>
      <w:r>
        <w:rPr>
          <w:szCs w:val="20"/>
        </w:rPr>
        <w:t xml:space="preserve"> emploi</w:t>
      </w:r>
      <w:r>
        <w:rPr>
          <w:color w:val="1F497D"/>
          <w:szCs w:val="20"/>
        </w:rPr>
        <w:t>s</w:t>
      </w:r>
      <w:r>
        <w:rPr>
          <w:szCs w:val="20"/>
        </w:rPr>
        <w:t xml:space="preserve"> créés au cadre organique ne seront plus gérées par le Service ACS-APE-PTP (SGCCRS</w:t>
      </w:r>
      <w:r>
        <w:rPr>
          <w:rStyle w:val="Appelnotedebasdep"/>
          <w:szCs w:val="20"/>
        </w:rPr>
        <w:footnoteReference w:id="22"/>
      </w:r>
      <w:r>
        <w:rPr>
          <w:szCs w:val="20"/>
        </w:rPr>
        <w:t xml:space="preserve">), mais bien par la direction déconcentrée compétente du Service général de gestion des personnels de l’enseignement subventionné (SGGPES), dont vous trouverez les coordonnées en annexe 2. </w:t>
      </w:r>
    </w:p>
    <w:p>
      <w:pPr>
        <w:spacing w:line="276" w:lineRule="auto"/>
        <w:jc w:val="both"/>
        <w:rPr>
          <w:szCs w:val="20"/>
        </w:rPr>
      </w:pPr>
      <w:r>
        <w:rPr>
          <w:szCs w:val="20"/>
        </w:rPr>
        <w:t>Cependant, afin que le Service ACS-APE-PTP (SGCCRS) puisse assurer le plus harmonieusement possible le transfert des dossiers des membres du personnel anciennement ACS/APE concernés par ces engagements temporaires, il est impératif que les pouvoirs organisateurs prennent garde à ne pas cocher la case « ACS » ou « APE », mais bien la case « T/</w:t>
      </w:r>
      <w:proofErr w:type="spellStart"/>
      <w:r>
        <w:rPr>
          <w:szCs w:val="20"/>
        </w:rPr>
        <w:t>TPrior</w:t>
      </w:r>
      <w:proofErr w:type="spellEnd"/>
      <w:r>
        <w:rPr>
          <w:szCs w:val="20"/>
        </w:rPr>
        <w:t xml:space="preserve"> ». </w:t>
      </w:r>
    </w:p>
    <w:p>
      <w:pPr>
        <w:spacing w:line="276" w:lineRule="auto"/>
        <w:jc w:val="both"/>
        <w:rPr>
          <w:szCs w:val="20"/>
        </w:rPr>
      </w:pPr>
      <w:r>
        <w:rPr>
          <w:szCs w:val="20"/>
        </w:rPr>
        <w:t xml:space="preserve">Par ailleurs, au sein de l’encadré </w:t>
      </w:r>
      <w:r>
        <w:rPr>
          <w:b/>
          <w:bCs/>
          <w:i/>
          <w:iCs/>
          <w:szCs w:val="20"/>
        </w:rPr>
        <w:t>Justification</w:t>
      </w:r>
      <w:r>
        <w:rPr>
          <w:szCs w:val="20"/>
        </w:rPr>
        <w:t xml:space="preserve"> du FOND12, les pouvoirs organisateurs cocheront la case </w:t>
      </w:r>
      <w:r>
        <w:rPr>
          <w:b/>
          <w:bCs/>
          <w:i/>
          <w:iCs/>
          <w:szCs w:val="20"/>
        </w:rPr>
        <w:t>autres</w:t>
      </w:r>
      <w:r>
        <w:rPr>
          <w:szCs w:val="20"/>
        </w:rPr>
        <w:t>, et y indiqueront : « </w:t>
      </w:r>
      <w:r>
        <w:rPr>
          <w:b/>
          <w:szCs w:val="20"/>
          <w:u w:val="single"/>
        </w:rPr>
        <w:t>ancien ACS/APE recruté dans le cadre organique en 2018-2019</w:t>
      </w:r>
      <w:r>
        <w:rPr>
          <w:szCs w:val="20"/>
        </w:rPr>
        <w:t xml:space="preserve"> ». </w:t>
      </w:r>
    </w:p>
    <w:p>
      <w:pPr>
        <w:spacing w:after="0" w:line="240" w:lineRule="auto"/>
        <w:jc w:val="both"/>
      </w:pPr>
    </w:p>
    <w:p>
      <w:pPr>
        <w:pStyle w:val="Titre2"/>
        <w:numPr>
          <w:ilvl w:val="0"/>
          <w:numId w:val="23"/>
        </w:numPr>
      </w:pPr>
      <w:bookmarkStart w:id="50" w:name="_Toc515540762"/>
      <w:r>
        <w:t>Mode opératoire d’attribution des postes en trois temps</w:t>
      </w:r>
      <w:bookmarkEnd w:id="50"/>
      <w:r>
        <w:t xml:space="preserve"> </w:t>
      </w:r>
    </w:p>
    <w:p>
      <w:pPr>
        <w:pStyle w:val="Sansinterligne"/>
      </w:pPr>
    </w:p>
    <w:p>
      <w:pPr>
        <w:pStyle w:val="Titre3"/>
        <w:numPr>
          <w:ilvl w:val="1"/>
          <w:numId w:val="23"/>
        </w:numPr>
      </w:pPr>
      <w:bookmarkStart w:id="51" w:name="_Toc515540763"/>
      <w:r>
        <w:t>PREMIÈRE ÉTAPE - Priorité à concurrence de la charge maximale précédemment exercée</w:t>
      </w:r>
      <w:bookmarkEnd w:id="51"/>
      <w:r>
        <w:t xml:space="preserve"> </w:t>
      </w:r>
    </w:p>
    <w:p>
      <w:pPr>
        <w:pStyle w:val="Titre4"/>
        <w:numPr>
          <w:ilvl w:val="2"/>
          <w:numId w:val="23"/>
        </w:numPr>
        <w:spacing w:line="276" w:lineRule="auto"/>
      </w:pPr>
      <w:bookmarkStart w:id="52" w:name="_Toc515540764"/>
      <w:r>
        <w:t>Attribution des emplois</w:t>
      </w:r>
      <w:bookmarkEnd w:id="52"/>
    </w:p>
    <w:p>
      <w:pPr>
        <w:spacing w:after="0" w:line="276" w:lineRule="auto"/>
        <w:jc w:val="both"/>
      </w:pPr>
      <w:r>
        <w:t>Dans un premier temps, les emplois seront attribués en servant en priorité les membres du personnel relevant d’une des quatre catégories visée au Chapitre II :</w:t>
      </w:r>
    </w:p>
    <w:p>
      <w:pPr>
        <w:spacing w:after="0" w:line="276" w:lineRule="auto"/>
        <w:jc w:val="both"/>
      </w:pPr>
    </w:p>
    <w:p>
      <w:pPr>
        <w:pStyle w:val="Paragraphedeliste"/>
        <w:numPr>
          <w:ilvl w:val="0"/>
          <w:numId w:val="11"/>
        </w:numPr>
        <w:spacing w:after="0" w:line="276" w:lineRule="auto"/>
        <w:jc w:val="both"/>
        <w:rPr>
          <w:b/>
        </w:rPr>
      </w:pPr>
      <w:r>
        <w:rPr>
          <w:b/>
        </w:rPr>
        <w:t>qui sont candidats prioritaires au sein du pouvoir organisateur ;</w:t>
      </w:r>
    </w:p>
    <w:p>
      <w:pPr>
        <w:pStyle w:val="Paragraphedeliste"/>
        <w:spacing w:after="0" w:line="276" w:lineRule="auto"/>
        <w:jc w:val="both"/>
        <w:rPr>
          <w:sz w:val="20"/>
        </w:rPr>
      </w:pPr>
      <w:r>
        <w:rPr>
          <w:sz w:val="20"/>
        </w:rPr>
        <w:t>Est prioritaire le membre du personnel qui peut faire valoir 360 jours de services effectivement accomplis dans la fonction de maître de psychomotricité en fonction principale auprès de ce pouvoir organisateur et répartis sur deux années scolaires au moins et acquis au cours des cinq dernières années scolaires</w:t>
      </w:r>
      <w:r>
        <w:rPr>
          <w:rStyle w:val="Appelnotedebasdep"/>
          <w:sz w:val="20"/>
        </w:rPr>
        <w:footnoteReference w:id="23"/>
      </w:r>
      <w:r>
        <w:rPr>
          <w:sz w:val="20"/>
        </w:rPr>
        <w:t>.</w:t>
      </w:r>
    </w:p>
    <w:p>
      <w:pPr>
        <w:pStyle w:val="Paragraphedeliste"/>
        <w:numPr>
          <w:ilvl w:val="0"/>
          <w:numId w:val="11"/>
        </w:numPr>
        <w:spacing w:after="0" w:line="276" w:lineRule="auto"/>
        <w:jc w:val="both"/>
        <w:rPr>
          <w:b/>
        </w:rPr>
      </w:pPr>
      <w:r>
        <w:rPr>
          <w:b/>
        </w:rPr>
        <w:t>à concurrence de la charge la plus élevée que ces membres du personnel ont occupée dans la fonction de maître de psychomotricité sur une période continue de minimum six mois au cours des années scolaires 2015-2016, 2016-2017 et 2017-2018 ;</w:t>
      </w:r>
    </w:p>
    <w:p>
      <w:pPr>
        <w:spacing w:after="0" w:line="276" w:lineRule="auto"/>
        <w:ind w:left="708"/>
        <w:jc w:val="both"/>
        <w:rPr>
          <w:sz w:val="20"/>
        </w:rPr>
      </w:pPr>
      <w:r>
        <w:rPr>
          <w:sz w:val="20"/>
        </w:rPr>
        <w:t xml:space="preserve">La notion de période continue de minimum six mois est destinée à écarter les remplacements de courte durée. </w:t>
      </w:r>
      <w:r>
        <w:rPr>
          <w:sz w:val="20"/>
          <w:szCs w:val="20"/>
        </w:rPr>
        <w:t xml:space="preserve">On entend par « période continue », la période couverte par la désignation ou l’engagement, en ce compris donc les congés et absences règlementairement justifiés. </w:t>
      </w:r>
    </w:p>
    <w:p>
      <w:pPr>
        <w:pStyle w:val="Paragraphedeliste"/>
        <w:numPr>
          <w:ilvl w:val="0"/>
          <w:numId w:val="11"/>
        </w:numPr>
        <w:spacing w:after="0" w:line="276" w:lineRule="auto"/>
        <w:jc w:val="both"/>
        <w:rPr>
          <w:b/>
        </w:rPr>
      </w:pPr>
      <w:r>
        <w:rPr>
          <w:b/>
        </w:rPr>
        <w:t xml:space="preserve">dans le respect du classement. </w:t>
      </w:r>
    </w:p>
    <w:p>
      <w:pPr>
        <w:spacing w:after="0" w:line="276" w:lineRule="auto"/>
        <w:ind w:left="708"/>
        <w:jc w:val="both"/>
        <w:rPr>
          <w:sz w:val="20"/>
        </w:rPr>
      </w:pPr>
      <w:r>
        <w:rPr>
          <w:sz w:val="20"/>
        </w:rPr>
        <w:t>Celui-ci est établi sur la base du nombre de jours d'ancienneté de service calculé conformément à l’article 34 du décret du 6 juin 1994 (exception faite de l’application du coefficient réducteur de 0,3 sur les 1200 premiers jours de services rendus par les maîtres de psychomotricité ACS/APE) dont les règles principales font l’objet d’un rappel en page 8.</w:t>
      </w:r>
    </w:p>
    <w:p>
      <w:pPr>
        <w:spacing w:after="0" w:line="276" w:lineRule="auto"/>
        <w:ind w:left="708"/>
        <w:jc w:val="both"/>
        <w:rPr>
          <w:sz w:val="20"/>
        </w:rPr>
      </w:pPr>
    </w:p>
    <w:p>
      <w:pPr>
        <w:pStyle w:val="Titre4"/>
        <w:numPr>
          <w:ilvl w:val="2"/>
          <w:numId w:val="23"/>
        </w:numPr>
      </w:pPr>
      <w:bookmarkStart w:id="53" w:name="_Toc515540765"/>
      <w:r>
        <w:t>Assouplissement des conditions à remplir pour figurer au classement des temporaires prioritaires et faire usage du droit de priorité</w:t>
      </w:r>
      <w:bookmarkEnd w:id="53"/>
    </w:p>
    <w:p>
      <w:pPr>
        <w:spacing w:after="0" w:line="276" w:lineRule="auto"/>
        <w:jc w:val="both"/>
      </w:pPr>
      <w:r>
        <w:t xml:space="preserve">Pour l’attribution des emplois conformément au point 2.1.1., les candidats qui peuvent faire valoir, au 30 juin 2018, 360 jours de services effectivement accomplis dans la fonction de maître de psychomotricité en fonction principale auprès de leur pouvoir organisateur et répartis sur deux années scolaires au moins et acquis au cours des cinq dernières années scolaires sont réputés figurer au classement des temporaires prioritaires au 30 juin 2018 et avoir introduit leur candidature avant le 31 mai 2018 par lettre recommandée en vue de faire usage de leur droit de priorité. </w:t>
      </w:r>
    </w:p>
    <w:p>
      <w:pPr>
        <w:spacing w:after="0" w:line="276" w:lineRule="auto"/>
        <w:jc w:val="both"/>
      </w:pPr>
    </w:p>
    <w:p>
      <w:pPr>
        <w:spacing w:after="0" w:line="276" w:lineRule="auto"/>
        <w:jc w:val="both"/>
      </w:pPr>
      <w:r>
        <w:t xml:space="preserve">Cet assouplissement est introduit afin de parer au fait que l’ancienneté de certains maîtres de psychomotricité ACS/APE, sur laquelle un coefficient réducteur de 0,3 est appliqué en ce qui concerne les 1200 premiers jours de services rendus, ne leur permettait pas, pour l’année scolaire 2017-2018, d’être dans les conditions pour figurer au classement. Ceux-ci n’ont donc pas eu la possibilité d’accomplir les démarches nécessaires en vue de faire usage de leur droit de priorité, étant donné, qu’avant le </w:t>
      </w:r>
      <w:proofErr w:type="spellStart"/>
      <w:r>
        <w:t>recalcul</w:t>
      </w:r>
      <w:proofErr w:type="spellEnd"/>
      <w:r>
        <w:t xml:space="preserve"> de leur ancienneté, tel que visé au point 2. du Chapitre III, ils n’avaient pas suffisamment d’ancienneté pour pouvoir revêtir la qualité de membre du personnel prioritaire.</w:t>
      </w:r>
    </w:p>
    <w:p>
      <w:pPr>
        <w:spacing w:after="0" w:line="276" w:lineRule="auto"/>
        <w:jc w:val="both"/>
      </w:pPr>
    </w:p>
    <w:p>
      <w:pPr>
        <w:spacing w:after="0" w:line="276" w:lineRule="auto"/>
        <w:jc w:val="both"/>
      </w:pPr>
      <w:r>
        <w:lastRenderedPageBreak/>
        <w:t>En effet, le nouveau calcul - après la suppression du coefficient réducteur - aura un impact sur l’ampleur de l’ancienneté des maîtres de psychomotricité ACS/APE. Dès lors, il était nécessaire d’assouplir certaines conditions contenues dans les règles statutaires relatives à la dévolution des emplois afin que les maîtres de psychomotricité ACS/APE, qui seront dans les conditions en termes d’ancienneté au 30 juin 2018 - de par l’application du nouveau calcul d’ancienneté prévu par le décret - puissent faire usage de leur droit de priorité, nonobstant le fait qu’ils n’auraient pas introduit leur candidature conformément au prescrit l’article 24, § 6, du décret du 6 juin 1994.</w:t>
      </w:r>
    </w:p>
    <w:p>
      <w:pPr>
        <w:spacing w:after="0" w:line="240" w:lineRule="auto"/>
        <w:jc w:val="both"/>
      </w:pPr>
    </w:p>
    <w:p>
      <w:pPr>
        <w:pStyle w:val="Titre3"/>
        <w:numPr>
          <w:ilvl w:val="1"/>
          <w:numId w:val="23"/>
        </w:numPr>
      </w:pPr>
      <w:bookmarkStart w:id="54" w:name="_Toc515540766"/>
      <w:r>
        <w:t>DEUXIÈME ÉTAPE - Priorité au-delà de la charge maximale précédemment exercée</w:t>
      </w:r>
      <w:bookmarkEnd w:id="54"/>
    </w:p>
    <w:p>
      <w:pPr>
        <w:pStyle w:val="Sansinterligne"/>
      </w:pPr>
    </w:p>
    <w:p>
      <w:pPr>
        <w:pStyle w:val="Titre4"/>
        <w:numPr>
          <w:ilvl w:val="2"/>
          <w:numId w:val="23"/>
        </w:numPr>
      </w:pPr>
      <w:bookmarkStart w:id="55" w:name="_Toc515540767"/>
      <w:r>
        <w:t>Attribution des emplois</w:t>
      </w:r>
      <w:bookmarkEnd w:id="55"/>
    </w:p>
    <w:p>
      <w:pPr>
        <w:spacing w:after="0" w:line="276" w:lineRule="auto"/>
        <w:jc w:val="both"/>
      </w:pPr>
      <w:r>
        <w:t>Après la première étape visée au point 2.1., les emplois restant à pourvoir seront, dans un deuxième temps, attribués en servant en priorité les membres du personnel relevant d’une des quatre catégories visée au Chapitre II :</w:t>
      </w:r>
    </w:p>
    <w:p>
      <w:pPr>
        <w:spacing w:after="0" w:line="276" w:lineRule="auto"/>
        <w:jc w:val="both"/>
      </w:pPr>
    </w:p>
    <w:p>
      <w:pPr>
        <w:pStyle w:val="Paragraphedeliste"/>
        <w:numPr>
          <w:ilvl w:val="0"/>
          <w:numId w:val="11"/>
        </w:numPr>
        <w:spacing w:after="0" w:line="276" w:lineRule="auto"/>
        <w:jc w:val="both"/>
        <w:rPr>
          <w:b/>
        </w:rPr>
      </w:pPr>
      <w:r>
        <w:rPr>
          <w:b/>
        </w:rPr>
        <w:t>qui sont candidats prioritaires au sein du pouvoir organisateur ;</w:t>
      </w:r>
    </w:p>
    <w:p>
      <w:pPr>
        <w:pStyle w:val="Paragraphedeliste"/>
        <w:spacing w:after="0" w:line="276" w:lineRule="auto"/>
        <w:jc w:val="both"/>
        <w:rPr>
          <w:sz w:val="20"/>
        </w:rPr>
      </w:pPr>
      <w:r>
        <w:rPr>
          <w:sz w:val="20"/>
        </w:rPr>
        <w:t>Est prioritaire le membre du personnel qui peut faire valoir 360 jours de services effectivement accomplis dans la fonction de maître de psychomotricité en fonction principale auprès de ce pouvoir organisateur et répartis sur deux années scolaires au moins et acquis au cours des cinq dernières années scolaires</w:t>
      </w:r>
      <w:r>
        <w:rPr>
          <w:rStyle w:val="Appelnotedebasdep"/>
          <w:sz w:val="20"/>
        </w:rPr>
        <w:footnoteReference w:id="24"/>
      </w:r>
      <w:r>
        <w:rPr>
          <w:sz w:val="20"/>
        </w:rPr>
        <w:t> ;</w:t>
      </w:r>
    </w:p>
    <w:p>
      <w:pPr>
        <w:pStyle w:val="Paragraphedeliste"/>
        <w:numPr>
          <w:ilvl w:val="0"/>
          <w:numId w:val="11"/>
        </w:numPr>
        <w:spacing w:after="0" w:line="276" w:lineRule="auto"/>
        <w:jc w:val="both"/>
        <w:rPr>
          <w:b/>
        </w:rPr>
      </w:pPr>
      <w:r>
        <w:rPr>
          <w:b/>
        </w:rPr>
        <w:t>au-delà de la charge la plus élevée que ces membres du personnel ont occupée dans la fonction de maître de psychomotricité sur une période continue de minimum six mois au cours des années scolaires 2015-2016, 2016-2017 et 2017-2018 ;</w:t>
      </w:r>
    </w:p>
    <w:p>
      <w:pPr>
        <w:pStyle w:val="Paragraphedeliste"/>
        <w:spacing w:after="0" w:line="276" w:lineRule="auto"/>
        <w:jc w:val="both"/>
        <w:rPr>
          <w:sz w:val="20"/>
        </w:rPr>
      </w:pPr>
      <w:r>
        <w:rPr>
          <w:sz w:val="20"/>
        </w:rPr>
        <w:t xml:space="preserve">Dans ce second temps, la dévolution des emplois restant à pourvoir se fera au profit des extensions de charge des candidats prioritaires parmi les membres du personnel visés au Chapitre II, et ce à concurrence d’une charge complète. Les périodes  attribuées ne peuvent toutefois excéder le nombre de périodes exigé pour une fonction à prestations complètes. </w:t>
      </w:r>
    </w:p>
    <w:p>
      <w:pPr>
        <w:pStyle w:val="Paragraphedeliste"/>
        <w:numPr>
          <w:ilvl w:val="0"/>
          <w:numId w:val="11"/>
        </w:numPr>
        <w:spacing w:after="0" w:line="276" w:lineRule="auto"/>
        <w:jc w:val="both"/>
        <w:rPr>
          <w:b/>
        </w:rPr>
      </w:pPr>
      <w:r>
        <w:rPr>
          <w:b/>
        </w:rPr>
        <w:t>dans le respect du classement.</w:t>
      </w:r>
    </w:p>
    <w:p>
      <w:pPr>
        <w:spacing w:after="0" w:line="276" w:lineRule="auto"/>
        <w:ind w:left="708"/>
        <w:jc w:val="both"/>
      </w:pPr>
      <w:r>
        <w:rPr>
          <w:sz w:val="20"/>
        </w:rPr>
        <w:t xml:space="preserve">Celui-ci est établi sur la base du nombre de jours d'ancienneté de service calculé conformément à l’article 34 du décret du 6 juin 1994 (exception faite de l’application du coefficient réducteur de 0,3 sur les 1200 premiers jours de services rendus par les maîtres de psychomotricité ACS/APE) dont les règles principales font l’objet d’un rappel en page 8. </w:t>
      </w:r>
    </w:p>
    <w:p>
      <w:pPr>
        <w:spacing w:after="0" w:line="240" w:lineRule="auto"/>
        <w:jc w:val="both"/>
      </w:pPr>
    </w:p>
    <w:p>
      <w:pPr>
        <w:pStyle w:val="Titre4"/>
        <w:numPr>
          <w:ilvl w:val="2"/>
          <w:numId w:val="23"/>
        </w:numPr>
        <w:jc w:val="both"/>
      </w:pPr>
      <w:bookmarkStart w:id="56" w:name="_Toc515540768"/>
      <w:r>
        <w:t>Assouplissement des conditions à remplir pour figurer au classement des temporaires prioritaires et faire usage du droit de priorité (renvoi au point 2.1.2.)</w:t>
      </w:r>
      <w:bookmarkEnd w:id="56"/>
    </w:p>
    <w:p>
      <w:pPr>
        <w:spacing w:after="0" w:line="276" w:lineRule="auto"/>
        <w:jc w:val="both"/>
      </w:pPr>
      <w:r>
        <w:t>Les assouplissements exposés au point 2.1.2 sont également d’application lors de cette deuxième vague d’attribution des emplois.</w:t>
      </w:r>
    </w:p>
    <w:p>
      <w:pPr>
        <w:pStyle w:val="Sansinterligne"/>
        <w:rPr>
          <w:sz w:val="20"/>
        </w:rPr>
      </w:pPr>
    </w:p>
    <w:p>
      <w:pPr>
        <w:pStyle w:val="Sansinterligne"/>
        <w:rPr>
          <w:sz w:val="20"/>
        </w:rPr>
      </w:pPr>
    </w:p>
    <w:p>
      <w:pPr>
        <w:spacing w:after="0" w:line="240" w:lineRule="auto"/>
        <w:jc w:val="both"/>
      </w:pPr>
    </w:p>
    <w:p>
      <w:pPr>
        <w:pStyle w:val="Titre3"/>
        <w:numPr>
          <w:ilvl w:val="1"/>
          <w:numId w:val="23"/>
        </w:numPr>
      </w:pPr>
      <w:bookmarkStart w:id="57" w:name="_Toc515540769"/>
      <w:r>
        <w:t>TROISIÈME ÉTAPE - Attribution des emplois restants</w:t>
      </w:r>
      <w:bookmarkEnd w:id="57"/>
    </w:p>
    <w:p>
      <w:pPr>
        <w:spacing w:after="0" w:line="276" w:lineRule="auto"/>
        <w:jc w:val="both"/>
      </w:pPr>
      <w:r>
        <w:lastRenderedPageBreak/>
        <w:t>Après épuisement de la liste des candidats prioritaires conformément aux points 2.1.1. et 2.2.1., les emplois restant à pourvoir sont attribués sur base des règles statutaires fixées par le décret du 6 juin 1994.</w:t>
      </w:r>
    </w:p>
    <w:p>
      <w:pPr>
        <w:spacing w:after="0" w:line="276" w:lineRule="auto"/>
        <w:jc w:val="both"/>
      </w:pPr>
    </w:p>
    <w:p>
      <w:pPr>
        <w:spacing w:after="0" w:line="276" w:lineRule="auto"/>
        <w:jc w:val="both"/>
      </w:pPr>
      <w:r>
        <w:t>En effet, une fois que les membres du personnel visés au Chapitre II, qui ont acquis un droit de priorité au sein de leur pouvoir organisateur, seront servis, les pouvoirs organisateurs procéderont, le cas échéant, aux désignations dans les emplois restant à pourvoir selon les règles classiques issues du décret du 6 juin 1994.</w:t>
      </w:r>
    </w:p>
    <w:p>
      <w:pPr>
        <w:spacing w:after="0" w:line="276" w:lineRule="auto"/>
        <w:jc w:val="both"/>
      </w:pPr>
    </w:p>
    <w:p>
      <w:pPr>
        <w:spacing w:after="0" w:line="276" w:lineRule="auto"/>
        <w:jc w:val="both"/>
        <w:rPr>
          <w:u w:val="single"/>
        </w:rPr>
      </w:pPr>
      <w:r>
        <w:rPr>
          <w:u w:val="single"/>
        </w:rPr>
        <w:t>C’est donc à ce moment-là, seulement, que le pouvoir organisateur pourra désigner à titre temporaire</w:t>
      </w:r>
      <w:r>
        <w:rPr>
          <w:rStyle w:val="Appelnotedebasdep"/>
          <w:u w:val="single"/>
        </w:rPr>
        <w:footnoteReference w:id="25"/>
      </w:r>
      <w:r>
        <w:rPr>
          <w:u w:val="single"/>
        </w:rPr>
        <w:t> :</w:t>
      </w:r>
    </w:p>
    <w:p>
      <w:pPr>
        <w:spacing w:after="0" w:line="276" w:lineRule="auto"/>
        <w:jc w:val="both"/>
      </w:pPr>
      <w:r>
        <w:t>-</w:t>
      </w:r>
      <w:r>
        <w:tab/>
        <w:t>les membres de son personnel qui figurent au classement des temporaires prioritaires pour la fonction de maître de psychomotricité mais qui exercent une autre fonction</w:t>
      </w:r>
      <w:r>
        <w:rPr>
          <w:rStyle w:val="Appelnotedebasdep"/>
        </w:rPr>
        <w:footnoteReference w:id="26"/>
      </w:r>
      <w:r>
        <w:t xml:space="preserve"> et qui ne relèvent pas, par ailleurs, d’une des quatre catégories visée au Chapitre II ;</w:t>
      </w:r>
    </w:p>
    <w:p>
      <w:pPr>
        <w:spacing w:after="0" w:line="276" w:lineRule="auto"/>
        <w:jc w:val="both"/>
      </w:pPr>
      <w:r>
        <w:t>-</w:t>
      </w:r>
      <w:r>
        <w:tab/>
        <w:t>les membres de son personnel temporaires ou, jusqu’à présent, sous contrat ACS/APE dans la fonction de maître de psychomotricité qui ne sont pas prioritaires ;</w:t>
      </w:r>
    </w:p>
    <w:p>
      <w:pPr>
        <w:spacing w:after="0" w:line="276" w:lineRule="auto"/>
        <w:jc w:val="both"/>
      </w:pPr>
      <w:r>
        <w:t>-</w:t>
      </w:r>
      <w:r>
        <w:tab/>
        <w:t>les autres membres du personnel dans le cadre d’un primo-recrutement, dans le respect de la priorisation des titres</w:t>
      </w:r>
      <w:r>
        <w:rPr>
          <w:rStyle w:val="Appelnotedebasdep"/>
        </w:rPr>
        <w:footnoteReference w:id="27"/>
      </w:r>
      <w:r>
        <w:t xml:space="preserve">. </w:t>
      </w:r>
    </w:p>
    <w:p>
      <w:pPr>
        <w:spacing w:after="0" w:line="276" w:lineRule="auto"/>
        <w:jc w:val="both"/>
        <w:rPr>
          <w:sz w:val="24"/>
        </w:rPr>
      </w:pPr>
    </w:p>
    <w:p>
      <w:pPr>
        <w:pStyle w:val="Titre2"/>
        <w:numPr>
          <w:ilvl w:val="0"/>
          <w:numId w:val="23"/>
        </w:numPr>
      </w:pPr>
      <w:bookmarkStart w:id="58" w:name="_Toc515540770"/>
      <w:r>
        <w:t>Implications pratiques de cette dévolution particulière des emplois pour l’année scolaire 2018-2019</w:t>
      </w:r>
      <w:bookmarkEnd w:id="58"/>
    </w:p>
    <w:p>
      <w:pPr>
        <w:spacing w:after="0" w:line="276" w:lineRule="auto"/>
        <w:jc w:val="both"/>
      </w:pPr>
      <w:r>
        <w:t xml:space="preserve">Les nouveaux emplois organiques de maître de psychomotricité seront attribués en priorité, pour l’année scolaire 2018-2019, aux quatre catégories de membres du personnel visées au Chapitre II, suite à la suppression des postes ACS/APE de maître de psychomotricité. </w:t>
      </w:r>
    </w:p>
    <w:p>
      <w:pPr>
        <w:spacing w:after="0" w:line="276" w:lineRule="auto"/>
        <w:jc w:val="both"/>
      </w:pPr>
    </w:p>
    <w:p>
      <w:pPr>
        <w:spacing w:after="0" w:line="276" w:lineRule="auto"/>
        <w:jc w:val="both"/>
      </w:pPr>
      <w:r>
        <w:t>Ces membres du personnel seront donc priorisés, lors de la première étape (visée au point 2.1.) et la deuxième étape (visée au point 2.2.) de dévolution des emplois, par rapport à tous les autres membres du personnel  qui, en l’absence d’une telle délimitation en termes de bénéficiaires, auraient pu faire valoir des droits sur ces emplois. En effet, le décret crée un mécanisme qui sépare complètement les maîtres de psychomotricité des autres membres du personnel pour l’attribution, aux candidats prioritaires parmi les membres du personnel visés au Chapitre II, lors de l’année scolaire 2018-2019, des futurs emplois dans la fonction de maître de psychomotricité. Les règles statutaires classiques prévoient que tout membre du personnel peut prétendre, d’une part, à être désigné dans un emploi vacant de la fonction pour laquelle il possède le titre requis, le titre suffisant ou le titre de pénurie</w:t>
      </w:r>
      <w:r>
        <w:rPr>
          <w:rStyle w:val="Appelnotedebasdep"/>
        </w:rPr>
        <w:footnoteReference w:id="28"/>
      </w:r>
      <w:r>
        <w:t xml:space="preserve"> et, d’autre part, à être nommé dans un emploi vacant de la fonction pour laquelle il possède le titre requis ou le titre suffisant. </w:t>
      </w:r>
    </w:p>
    <w:p>
      <w:pPr>
        <w:spacing w:after="0" w:line="276" w:lineRule="auto"/>
        <w:jc w:val="both"/>
      </w:pPr>
    </w:p>
    <w:p>
      <w:pPr>
        <w:spacing w:after="0" w:line="276" w:lineRule="auto"/>
        <w:jc w:val="both"/>
      </w:pPr>
      <w:r>
        <w:lastRenderedPageBreak/>
        <w:t xml:space="preserve">Par ailleurs, il existe des priorités à la désignation dans un emploi pour lequel un membre du personnel, qui a la qualité de temporaire prioritaire au sein d’un pouvoir organisateur, dispose du titre requis. </w:t>
      </w:r>
    </w:p>
    <w:p>
      <w:pPr>
        <w:spacing w:after="0" w:line="276" w:lineRule="auto"/>
        <w:jc w:val="both"/>
        <w:rPr>
          <w:i/>
        </w:rPr>
      </w:pPr>
      <w:r>
        <w:rPr>
          <w:i/>
        </w:rPr>
        <w:t xml:space="preserve">Exemple : un instituteur maternel ou un maître d’éducation physique qui est prioritaire au sein de son pouvoir organisateur a un droit prioritaire à la désignation dans un emploi de la fonction de maître de psychomotricité, à condition qu’il dispose du titre requis pour exercer cette fonction. </w:t>
      </w:r>
    </w:p>
    <w:p>
      <w:pPr>
        <w:spacing w:after="0" w:line="276" w:lineRule="auto"/>
        <w:jc w:val="both"/>
      </w:pPr>
    </w:p>
    <w:p>
      <w:pPr>
        <w:spacing w:after="0" w:line="276" w:lineRule="auto"/>
        <w:jc w:val="both"/>
      </w:pPr>
      <w:r>
        <w:t xml:space="preserve">Le décret aura, toutefois, précisément pour conséquence qu’un instituteur maternel ou un maître d’éducation physique qui ne relève pas, par ailleurs, d’une des quatre catégories de membre du personnel visée au Chapitre II, ne pourra pas faire valoir de droits sur les emplois vacants dans la fonction de maître de psychomotricité lors de l’année scolaire 2018-2019, sauf dans le cas où tous les membres du personnel prioritaires relevant des quatre catégories visées par le décret sont servis. </w:t>
      </w:r>
    </w:p>
    <w:p>
      <w:pPr>
        <w:spacing w:after="0" w:line="276" w:lineRule="auto"/>
        <w:jc w:val="both"/>
      </w:pPr>
      <w:r>
        <w:rPr>
          <w:b/>
        </w:rPr>
        <w:t>En effet, une fois que les procédures particulières exposées aux points 2.1. et 2.2. auront été remplies, les pouvoirs organisateurs pourront alors désigner à titre temporaire dans les emplois restants à pourvoir :</w:t>
      </w:r>
      <w:r>
        <w:t xml:space="preserve"> </w:t>
      </w:r>
    </w:p>
    <w:p>
      <w:pPr>
        <w:numPr>
          <w:ilvl w:val="0"/>
          <w:numId w:val="19"/>
        </w:numPr>
        <w:spacing w:after="0" w:line="276" w:lineRule="auto"/>
        <w:contextualSpacing/>
        <w:jc w:val="both"/>
      </w:pPr>
      <w:r>
        <w:t>les membres du personnel non prioritaires visés au Chapitre II ;</w:t>
      </w:r>
    </w:p>
    <w:p>
      <w:pPr>
        <w:numPr>
          <w:ilvl w:val="0"/>
          <w:numId w:val="19"/>
        </w:numPr>
        <w:spacing w:after="0" w:line="276" w:lineRule="auto"/>
        <w:contextualSpacing/>
        <w:jc w:val="both"/>
      </w:pPr>
      <w:r>
        <w:t>mais également d’autres membres du personnel ;</w:t>
      </w:r>
    </w:p>
    <w:p>
      <w:pPr>
        <w:spacing w:after="0" w:line="276" w:lineRule="auto"/>
        <w:jc w:val="both"/>
        <w:rPr>
          <w:b/>
        </w:rPr>
      </w:pPr>
      <w:r>
        <w:rPr>
          <w:b/>
        </w:rPr>
        <w:t xml:space="preserve">en application des règles statutaires classiques. </w:t>
      </w:r>
    </w:p>
    <w:p>
      <w:pPr>
        <w:spacing w:after="0" w:line="276" w:lineRule="auto"/>
        <w:jc w:val="both"/>
      </w:pPr>
    </w:p>
    <w:p>
      <w:pPr>
        <w:spacing w:after="0" w:line="276" w:lineRule="auto"/>
        <w:jc w:val="both"/>
      </w:pPr>
      <w:r>
        <w:t xml:space="preserve">En conclusion, le décret instaure un groupe particulier, dans lequel, </w:t>
      </w:r>
      <w:r>
        <w:rPr>
          <w:i/>
          <w:u w:val="single"/>
        </w:rPr>
        <w:t>dans un premier temps</w:t>
      </w:r>
      <w:r>
        <w:t xml:space="preserve">, </w:t>
      </w:r>
      <w:r>
        <w:rPr>
          <w:b/>
        </w:rPr>
        <w:t>seuls les maîtres de psychomotricité</w:t>
      </w:r>
      <w:r>
        <w:t xml:space="preserve"> </w:t>
      </w:r>
      <w:r>
        <w:rPr>
          <w:b/>
        </w:rPr>
        <w:t>prioritaires</w:t>
      </w:r>
      <w:r>
        <w:t xml:space="preserve"> peuvent prétendre à accéder à une désignation ou une nomination dans les emplois de maîtres de psychomotricité, à l’exclusion des membres du personnel qui prestent dans une autre fonction mais dont le titre ou la priorité acquise au sein du pouvoir organisateur aurait permis à ceux-ci de faire valoir des droits sur ces futurs emplois. Ce n’est </w:t>
      </w:r>
      <w:r>
        <w:rPr>
          <w:u w:val="single"/>
        </w:rPr>
        <w:t>qu’</w:t>
      </w:r>
      <w:r>
        <w:rPr>
          <w:i/>
          <w:u w:val="single"/>
        </w:rPr>
        <w:t>une fois que ces maîtres de psychomotricité prioritaires auront été servis</w:t>
      </w:r>
      <w:r>
        <w:rPr>
          <w:i/>
        </w:rPr>
        <w:t xml:space="preserve"> </w:t>
      </w:r>
      <w:r>
        <w:t>que tous les membres du personnel pourront se voir attribuer les emplois de maître de psychomotricité selon les règles statutaires classique.</w:t>
      </w:r>
    </w:p>
    <w:p>
      <w:pPr>
        <w:spacing w:after="0" w:line="276" w:lineRule="auto"/>
        <w:jc w:val="both"/>
      </w:pPr>
      <w:r>
        <w:t>Au sein même de cette énumération, en revanche, il n’y a pas de priorisation à faire entre les quatre catégories de membre du personnel visées, selon la qualité de leur emploi. En effet, c’est l’ancienneté acquise par ces membres du personnel qui déterminera l’ordre dans lequel les emplois leur seront attribués et non le fait de relever de l’une ou l’autre catégorie.</w:t>
      </w:r>
    </w:p>
    <w:p>
      <w:r>
        <w:br w:type="page"/>
      </w:r>
    </w:p>
    <w:p>
      <w:pPr>
        <w:pStyle w:val="Titre1"/>
      </w:pPr>
      <w:bookmarkStart w:id="59" w:name="_Toc515540771"/>
      <w:r>
        <w:lastRenderedPageBreak/>
        <w:t>CHAPITRE V - PROCÉDURE PARTICULIÈRE DE NOMINATION À TITRE DÉFINITIF LORS DE L’ANNÉE SCOLAIRE 2018-2019</w:t>
      </w:r>
      <w:bookmarkEnd w:id="59"/>
      <w:r>
        <w:t xml:space="preserve"> </w:t>
      </w:r>
    </w:p>
    <w:p/>
    <w:p>
      <w:pPr>
        <w:pStyle w:val="Titre2"/>
        <w:numPr>
          <w:ilvl w:val="0"/>
          <w:numId w:val="10"/>
        </w:numPr>
      </w:pPr>
      <w:bookmarkStart w:id="60" w:name="_Toc515540772"/>
      <w:r>
        <w:t>L’appel aux candidats</w:t>
      </w:r>
      <w:bookmarkEnd w:id="60"/>
      <w:r>
        <w:t xml:space="preserve"> </w:t>
      </w:r>
    </w:p>
    <w:p>
      <w:pPr>
        <w:pStyle w:val="Titre3"/>
        <w:numPr>
          <w:ilvl w:val="1"/>
          <w:numId w:val="10"/>
        </w:numPr>
      </w:pPr>
      <w:bookmarkStart w:id="61" w:name="_Toc515540773"/>
      <w:r>
        <w:t>Calendrier particulier</w:t>
      </w:r>
      <w:bookmarkEnd w:id="61"/>
      <w:r>
        <w:t xml:space="preserve"> </w:t>
      </w:r>
    </w:p>
    <w:p>
      <w:pPr>
        <w:spacing w:after="0" w:line="276" w:lineRule="auto"/>
        <w:jc w:val="both"/>
      </w:pPr>
      <w:r>
        <w:t>L’appel aux candidats à la nomination définitive dans les emplois de maître de psychomotricité, pour l’année scolaire 2018-2019, aura exceptionnellement lieu durant le mois de juin 2018.</w:t>
      </w:r>
    </w:p>
    <w:p>
      <w:pPr>
        <w:spacing w:after="0" w:line="240" w:lineRule="auto"/>
        <w:jc w:val="both"/>
        <w:rPr>
          <w:sz w:val="20"/>
        </w:rPr>
      </w:pPr>
    </w:p>
    <w:p>
      <w:pPr>
        <w:pStyle w:val="Titre3"/>
        <w:numPr>
          <w:ilvl w:val="1"/>
          <w:numId w:val="10"/>
        </w:numPr>
      </w:pPr>
      <w:bookmarkStart w:id="62" w:name="_Toc515540774"/>
      <w:r>
        <w:t>Modalités de l’appel aux candidats</w:t>
      </w:r>
      <w:bookmarkEnd w:id="62"/>
    </w:p>
    <w:p>
      <w:pPr>
        <w:spacing w:after="0" w:line="276" w:lineRule="auto"/>
        <w:jc w:val="both"/>
        <w:rPr>
          <w:szCs w:val="24"/>
        </w:rPr>
      </w:pPr>
      <w:r>
        <w:rPr>
          <w:szCs w:val="24"/>
        </w:rPr>
        <w:t xml:space="preserve">L'appel lancé par le pouvoir organisateur indiquera la fonction à conférer, le volume des prestations des emplois offerts, les conditions requises dans le chef des candidats ainsi que la forme et le délai dans lesquels les candidatures doivent être introduites. </w:t>
      </w:r>
    </w:p>
    <w:p>
      <w:pPr>
        <w:spacing w:after="0" w:line="276" w:lineRule="auto"/>
        <w:jc w:val="both"/>
        <w:rPr>
          <w:szCs w:val="24"/>
        </w:rPr>
      </w:pPr>
    </w:p>
    <w:p>
      <w:pPr>
        <w:spacing w:after="0" w:line="276" w:lineRule="auto"/>
        <w:jc w:val="both"/>
        <w:rPr>
          <w:szCs w:val="24"/>
        </w:rPr>
      </w:pPr>
      <w:r>
        <w:rPr>
          <w:szCs w:val="24"/>
        </w:rPr>
        <w:t xml:space="preserve">Cet appel est communiqué : </w:t>
      </w:r>
    </w:p>
    <w:p>
      <w:pPr>
        <w:pStyle w:val="Paragraphedeliste"/>
        <w:numPr>
          <w:ilvl w:val="0"/>
          <w:numId w:val="19"/>
        </w:numPr>
        <w:spacing w:after="0" w:line="276" w:lineRule="auto"/>
        <w:jc w:val="both"/>
        <w:rPr>
          <w:szCs w:val="24"/>
        </w:rPr>
      </w:pPr>
      <w:r>
        <w:rPr>
          <w:szCs w:val="24"/>
        </w:rPr>
        <w:t>à tous les membres du personnel du pouvoir organisateur relevant d’une des quatre catégories visée au Chapitre II ;</w:t>
      </w:r>
    </w:p>
    <w:p>
      <w:pPr>
        <w:pStyle w:val="Paragraphedeliste"/>
        <w:numPr>
          <w:ilvl w:val="0"/>
          <w:numId w:val="19"/>
        </w:numPr>
        <w:spacing w:after="0" w:line="276" w:lineRule="auto"/>
        <w:jc w:val="both"/>
        <w:rPr>
          <w:szCs w:val="24"/>
        </w:rPr>
      </w:pPr>
      <w:r>
        <w:rPr>
          <w:szCs w:val="24"/>
        </w:rPr>
        <w:t xml:space="preserve">aux autres membres de son personnel qui figurent au classement des temporaires prioritaires pour la fonction de maître de psychomotricité.  </w:t>
      </w:r>
    </w:p>
    <w:p>
      <w:pPr>
        <w:spacing w:after="0" w:line="276" w:lineRule="auto"/>
        <w:jc w:val="both"/>
        <w:rPr>
          <w:szCs w:val="24"/>
        </w:rPr>
      </w:pPr>
    </w:p>
    <w:p>
      <w:pPr>
        <w:spacing w:after="0" w:line="276" w:lineRule="auto"/>
        <w:jc w:val="both"/>
      </w:pPr>
      <w:r>
        <w:t xml:space="preserve">Cet appel portera sur l’ensemble des périodes définitivement vacantes dans la fonction de maître de psychomotricité, y compris donc, celles sur base desquelles a éventuellement eu lieu l’appel aux candidats </w:t>
      </w:r>
      <w:r>
        <w:rPr>
          <w:b/>
        </w:rPr>
        <w:t xml:space="preserve">statutairement prévu dans le courant du mois de mai. </w:t>
      </w:r>
      <w:r>
        <w:t xml:space="preserve">Par conséquent, </w:t>
      </w:r>
      <w:r>
        <w:rPr>
          <w:b/>
        </w:rPr>
        <w:t xml:space="preserve">les membres du personnel </w:t>
      </w:r>
      <w:r>
        <w:t xml:space="preserve">qui auraient déjà fait acte de candidature à la nomination, suite à l’appel qui a eu lieu dans le courant du mois de mai, </w:t>
      </w:r>
      <w:r>
        <w:rPr>
          <w:b/>
        </w:rPr>
        <w:t>devront impérativement introduire un nouvel acte de candidature durant le mois de juin 2018 pour que leur candidature soit prise en compte en vue d’une nomination dans la fonction de maître de psychomotricité lors de l’année scolaire 2018-2019.</w:t>
      </w:r>
    </w:p>
    <w:p>
      <w:pPr>
        <w:spacing w:after="0" w:line="240" w:lineRule="auto"/>
        <w:jc w:val="both"/>
      </w:pPr>
    </w:p>
    <w:p>
      <w:pPr>
        <w:pStyle w:val="Titre3"/>
        <w:numPr>
          <w:ilvl w:val="1"/>
          <w:numId w:val="10"/>
        </w:numPr>
      </w:pPr>
      <w:bookmarkStart w:id="63" w:name="_Toc515540775"/>
      <w:r>
        <w:t>Modalités des nominations</w:t>
      </w:r>
      <w:bookmarkEnd w:id="63"/>
      <w:r>
        <w:t xml:space="preserve"> </w:t>
      </w:r>
    </w:p>
    <w:p>
      <w:pPr>
        <w:spacing w:after="0" w:line="276" w:lineRule="auto"/>
        <w:jc w:val="both"/>
      </w:pPr>
      <w:r>
        <w:t>Sont conférés à titre définitif les emplois de maître de psychomotricité qui demeurent vacants au 1</w:t>
      </w:r>
      <w:r>
        <w:rPr>
          <w:vertAlign w:val="superscript"/>
        </w:rPr>
        <w:t>er</w:t>
      </w:r>
      <w:r>
        <w:t xml:space="preserve"> octobre 2018 dans l'ensemble des établissements d'un même pouvoir organisateur situés sur le territoire de la même commune, à concurrence du nombre maximum d'emplois qui ont fait l'objet d'un appel aux candidats à la nomination au mois de juin 2018.</w:t>
      </w:r>
    </w:p>
    <w:p>
      <w:pPr>
        <w:spacing w:after="0" w:line="276" w:lineRule="auto"/>
        <w:jc w:val="both"/>
      </w:pPr>
    </w:p>
    <w:p>
      <w:pPr>
        <w:spacing w:after="0" w:line="276" w:lineRule="auto"/>
        <w:jc w:val="both"/>
      </w:pPr>
      <w:r>
        <w:t>Le pouvoir organisateur procède à la nomination à titre définitif dans un emploi vacant de la fonction de maître de psychomotricité au plus tard lors de la seconde réunion du pouvoir organisateur qui suit la réception de la dépêche ministérielle fixant le nombre d'emplois subventionnés pour l'année scolaire en cours.</w:t>
      </w:r>
    </w:p>
    <w:p>
      <w:pPr>
        <w:spacing w:after="0" w:line="276" w:lineRule="auto"/>
        <w:jc w:val="both"/>
      </w:pPr>
    </w:p>
    <w:p>
      <w:pPr>
        <w:spacing w:after="0" w:line="276" w:lineRule="auto"/>
        <w:jc w:val="both"/>
      </w:pPr>
      <w:r>
        <w:t>Les nominations définitives opèrent leurs effets au plus tard le 1</w:t>
      </w:r>
      <w:r>
        <w:rPr>
          <w:vertAlign w:val="superscript"/>
        </w:rPr>
        <w:t>er</w:t>
      </w:r>
      <w:r>
        <w:t xml:space="preserve"> avril 2019.</w:t>
      </w:r>
    </w:p>
    <w:p>
      <w:pPr>
        <w:spacing w:after="0" w:line="276" w:lineRule="auto"/>
        <w:jc w:val="both"/>
      </w:pPr>
    </w:p>
    <w:p>
      <w:pPr>
        <w:spacing w:after="0" w:line="240" w:lineRule="auto"/>
        <w:jc w:val="both"/>
      </w:pPr>
    </w:p>
    <w:p>
      <w:pPr>
        <w:pStyle w:val="Titre3"/>
        <w:numPr>
          <w:ilvl w:val="1"/>
          <w:numId w:val="10"/>
        </w:numPr>
      </w:pPr>
      <w:bookmarkStart w:id="64" w:name="_Toc515540776"/>
      <w:r>
        <w:lastRenderedPageBreak/>
        <w:t>Rappel des obligations du pouvoir organisateur en matière de mises en disponibilité par défaut d’emploi et de réaffectations</w:t>
      </w:r>
      <w:bookmarkEnd w:id="64"/>
      <w:r>
        <w:t xml:space="preserve"> </w:t>
      </w:r>
    </w:p>
    <w:p>
      <w:pPr>
        <w:spacing w:after="0" w:line="276" w:lineRule="auto"/>
        <w:jc w:val="both"/>
      </w:pPr>
      <w:r>
        <w:t>Le pouvoir organisateur ne pourra nommer un membre de son personnel dans un emploi vacant de la fonction de maître de psychomotricités qu’après avoir, le cas échéant, réaffecté ou rappelé provisoirement à l’activité dans ces emplois les membres de son personnel en disponibilité par défaut d’emploi ou en perte partielle de charge</w:t>
      </w:r>
      <w:r>
        <w:rPr>
          <w:rStyle w:val="Appelnotedebasdep"/>
        </w:rPr>
        <w:footnoteReference w:id="29"/>
      </w:r>
      <w:r>
        <w:t xml:space="preserve">. </w:t>
      </w:r>
    </w:p>
    <w:p>
      <w:pPr>
        <w:spacing w:after="0" w:line="276" w:lineRule="auto"/>
        <w:jc w:val="both"/>
      </w:pPr>
    </w:p>
    <w:p>
      <w:pPr>
        <w:pStyle w:val="Titre3"/>
        <w:numPr>
          <w:ilvl w:val="1"/>
          <w:numId w:val="10"/>
        </w:numPr>
      </w:pPr>
      <w:bookmarkStart w:id="65" w:name="_Toc515540777"/>
      <w:r>
        <w:t>Rappel des règles de rationalisation et de subventionnement</w:t>
      </w:r>
      <w:bookmarkEnd w:id="65"/>
    </w:p>
    <w:p>
      <w:pPr>
        <w:spacing w:after="0" w:line="276" w:lineRule="auto"/>
        <w:jc w:val="both"/>
      </w:pPr>
      <w:r>
        <w:t>Le pouvoir organisateur ne pourra pas nommer un membre de son personnel dans un emploi d'un établissement, d'une section, d'une implantation, d'un degré, d'un cycle ou d'une autre subdivision qui, en application des règles de rationalisation, est en voie de fermeture progressive ou qui ne peut être subventionné que pour une période limitée en vertu d'une décision du Gouvernement.</w:t>
      </w:r>
    </w:p>
    <w:p>
      <w:pPr>
        <w:spacing w:after="0" w:line="276" w:lineRule="auto"/>
        <w:jc w:val="both"/>
      </w:pPr>
    </w:p>
    <w:p>
      <w:pPr>
        <w:pStyle w:val="Titre2"/>
        <w:numPr>
          <w:ilvl w:val="0"/>
          <w:numId w:val="10"/>
        </w:numPr>
      </w:pPr>
      <w:bookmarkStart w:id="66" w:name="_Toc515540778"/>
      <w:r>
        <w:t>Conditions à réunir pour bénéficier d’une nomination à titre définitif dans les emplois de maître de psychomotricité dans l’enseignement fondamental ordinaire lors de l’année scolaire 2018-2019</w:t>
      </w:r>
      <w:bookmarkEnd w:id="66"/>
    </w:p>
    <w:p>
      <w:pPr>
        <w:pStyle w:val="Titre3"/>
        <w:numPr>
          <w:ilvl w:val="1"/>
          <w:numId w:val="10"/>
        </w:numPr>
      </w:pPr>
      <w:bookmarkStart w:id="67" w:name="_Toc515540779"/>
      <w:r>
        <w:t>Faire acte de candidature</w:t>
      </w:r>
      <w:bookmarkEnd w:id="67"/>
    </w:p>
    <w:p>
      <w:pPr>
        <w:spacing w:after="0" w:line="276" w:lineRule="auto"/>
        <w:jc w:val="both"/>
      </w:pPr>
      <w:r>
        <w:t>Pour être nommé à titre définitif dans un emploi de maître de psychomotricité lors de l’année scolaire 2018-2019, les maîtres de psychomotricité relevant d’une des quatre catégories exposée au Chapitre II qui ont introduit leur candidature en vue d’une désignation temporaire conformément au point 1.1 du Chapitre III, doivent, en outre, introduire une candidature pour le 30 juin 2018 au plus tard dans la forme fixée par l’appel aux candidats visé au point 1.</w:t>
      </w:r>
    </w:p>
    <w:p>
      <w:pPr>
        <w:spacing w:after="0" w:line="276" w:lineRule="auto"/>
        <w:jc w:val="both"/>
      </w:pPr>
    </w:p>
    <w:p>
      <w:pPr>
        <w:spacing w:after="0" w:line="276" w:lineRule="auto"/>
        <w:jc w:val="both"/>
      </w:pPr>
      <w:r>
        <w:rPr>
          <w:b/>
        </w:rPr>
        <w:t>Remarque :</w:t>
      </w:r>
      <w:r>
        <w:t xml:space="preserve"> Le maître de psychomotricité ACS/APE qui souhaite faire valoriser son ancienneté en vue d’une nomination auprès de tous les pouvoirs organisateurs au sein desquels il a exercé sa fonction dans le cadre d’un emploi partagé devra introduire un acte de candidature à la nomination auprès de chacun de ces pouvoirs organisateurs.</w:t>
      </w:r>
    </w:p>
    <w:p>
      <w:pPr>
        <w:spacing w:after="0" w:line="240" w:lineRule="auto"/>
        <w:jc w:val="both"/>
      </w:pPr>
    </w:p>
    <w:p>
      <w:pPr>
        <w:pStyle w:val="Titre3"/>
        <w:numPr>
          <w:ilvl w:val="1"/>
          <w:numId w:val="10"/>
        </w:numPr>
      </w:pPr>
      <w:bookmarkStart w:id="68" w:name="_Toc515540780"/>
      <w:r>
        <w:t>Répondre aux conditions de nomination à titre définitif</w:t>
      </w:r>
      <w:bookmarkEnd w:id="68"/>
    </w:p>
    <w:p>
      <w:pPr>
        <w:spacing w:after="0" w:line="276" w:lineRule="auto"/>
        <w:jc w:val="both"/>
      </w:pPr>
      <w:r>
        <w:t>Pour introduire valablement leur candidature à la nomination, les membres du personnel visés au Chapitre II de la présente circulaire doivent répondre, au moment de la nomination définitive, aux conditions de nomination, reproduites ci-dessous :</w:t>
      </w:r>
    </w:p>
    <w:p>
      <w:pPr>
        <w:pStyle w:val="Paragraphedeliste"/>
        <w:numPr>
          <w:ilvl w:val="0"/>
          <w:numId w:val="11"/>
        </w:numPr>
        <w:spacing w:after="0" w:line="276" w:lineRule="auto"/>
        <w:jc w:val="both"/>
      </w:pPr>
      <w:r>
        <w:t>être de conduite irréprochable ;</w:t>
      </w:r>
    </w:p>
    <w:p>
      <w:pPr>
        <w:pStyle w:val="Paragraphedeliste"/>
        <w:numPr>
          <w:ilvl w:val="0"/>
          <w:numId w:val="11"/>
        </w:numPr>
        <w:spacing w:after="0" w:line="276" w:lineRule="auto"/>
        <w:jc w:val="both"/>
      </w:pPr>
      <w:r>
        <w:t>jouir des droits civils et politiques ;</w:t>
      </w:r>
    </w:p>
    <w:p>
      <w:pPr>
        <w:pStyle w:val="Paragraphedeliste"/>
        <w:numPr>
          <w:ilvl w:val="0"/>
          <w:numId w:val="11"/>
        </w:numPr>
        <w:spacing w:after="0" w:line="276" w:lineRule="auto"/>
        <w:jc w:val="both"/>
      </w:pPr>
      <w:r>
        <w:t>satisfaire aux lois sur la milice ;</w:t>
      </w:r>
    </w:p>
    <w:p>
      <w:pPr>
        <w:pStyle w:val="Paragraphedeliste"/>
        <w:numPr>
          <w:ilvl w:val="0"/>
          <w:numId w:val="11"/>
        </w:numPr>
        <w:spacing w:after="0" w:line="276" w:lineRule="auto"/>
        <w:jc w:val="both"/>
      </w:pPr>
      <w:r>
        <w:t>être porteur du titre de capacité adéquat, à savoir, le titre suffisant ou le titre requis pour exercer la fonction de maître de psychomotricité</w:t>
      </w:r>
      <w:r>
        <w:rPr>
          <w:rStyle w:val="Appelnotedebasdep"/>
        </w:rPr>
        <w:footnoteReference w:id="30"/>
      </w:r>
      <w:r>
        <w:t> ;</w:t>
      </w:r>
    </w:p>
    <w:p>
      <w:pPr>
        <w:pStyle w:val="Paragraphedeliste"/>
        <w:spacing w:after="0" w:line="276" w:lineRule="auto"/>
        <w:jc w:val="both"/>
        <w:rPr>
          <w:i/>
          <w:sz w:val="20"/>
        </w:rPr>
      </w:pPr>
      <w:r>
        <w:rPr>
          <w:i/>
          <w:iCs/>
          <w:sz w:val="20"/>
        </w:rPr>
        <w:lastRenderedPageBreak/>
        <w:t>Remarque : Concernant les  titres de capacité, il est rappelé les membres du personnel peuvent disposer d’un titre sur base du régime transitoire établi par le décret du 11 janvier 2014 réglementant les titres et fonctions dans l'enseignement fondamental et secondaire organisé et subventionné par la Communauté française. Le régime transitoire est détaillé dans la circulaire générale n°6409 du 20 octobre 2017 relative à la réforme des titres et fonctions. </w:t>
      </w:r>
    </w:p>
    <w:p>
      <w:pPr>
        <w:pStyle w:val="Paragraphedeliste"/>
        <w:numPr>
          <w:ilvl w:val="0"/>
          <w:numId w:val="11"/>
        </w:numPr>
        <w:spacing w:after="0" w:line="276" w:lineRule="auto"/>
        <w:jc w:val="both"/>
      </w:pPr>
      <w:r>
        <w:t>posséder les aptitudes physiques fixées par le Gouvernement pour la nomination à titre définitif des membres du personnel dans l'enseignement de la Communauté ;</w:t>
      </w:r>
    </w:p>
    <w:p>
      <w:pPr>
        <w:pStyle w:val="Paragraphedeliste"/>
        <w:numPr>
          <w:ilvl w:val="0"/>
          <w:numId w:val="11"/>
        </w:numPr>
        <w:spacing w:after="0" w:line="276" w:lineRule="auto"/>
        <w:jc w:val="both"/>
      </w:pPr>
      <w:r>
        <w:t>satisfaire aux dispositions légales et réglementaires relatives au régime linguistique ;</w:t>
      </w:r>
    </w:p>
    <w:p>
      <w:pPr>
        <w:pStyle w:val="Paragraphedeliste"/>
        <w:numPr>
          <w:ilvl w:val="0"/>
          <w:numId w:val="11"/>
        </w:numPr>
        <w:spacing w:after="0" w:line="276" w:lineRule="auto"/>
        <w:jc w:val="both"/>
      </w:pPr>
      <w:r>
        <w:t>être classé comme prioritaire ;</w:t>
      </w:r>
    </w:p>
    <w:p>
      <w:pPr>
        <w:pStyle w:val="Paragraphedeliste"/>
        <w:numPr>
          <w:ilvl w:val="0"/>
          <w:numId w:val="11"/>
        </w:numPr>
        <w:spacing w:after="0" w:line="276" w:lineRule="auto"/>
        <w:jc w:val="both"/>
      </w:pPr>
      <w:r>
        <w:t>compter 600 jours d'ancienneté de service dont 240 jours dans la fonction de maître de psychomotricité ; les 600 jours d'ancienneté acquis au service du pouvoir organisateur doivent être répartis sur trois années scolaires au moins ;</w:t>
      </w:r>
    </w:p>
    <w:p>
      <w:pPr>
        <w:pStyle w:val="Paragraphedeliste"/>
        <w:numPr>
          <w:ilvl w:val="0"/>
          <w:numId w:val="11"/>
        </w:numPr>
        <w:spacing w:after="0" w:line="276" w:lineRule="auto"/>
        <w:jc w:val="both"/>
      </w:pPr>
      <w:r>
        <w:t>avoir introduit sa candidature dans la forme et le délai fixés par l'appel aux candidats ;</w:t>
      </w:r>
    </w:p>
    <w:p>
      <w:pPr>
        <w:pStyle w:val="Paragraphedeliste"/>
        <w:numPr>
          <w:ilvl w:val="0"/>
          <w:numId w:val="11"/>
        </w:numPr>
        <w:spacing w:after="0" w:line="276" w:lineRule="auto"/>
        <w:jc w:val="both"/>
      </w:pPr>
      <w:r>
        <w:t>faire l'objet, au plus tard le 31 octobre 2018, d'un rapport de service favorable de la part du chef d'établissement ou d'un délégué pédagogique du pouvoir organisateur ;</w:t>
      </w:r>
    </w:p>
    <w:p>
      <w:pPr>
        <w:pStyle w:val="Paragraphedeliste"/>
        <w:spacing w:after="0" w:line="276" w:lineRule="auto"/>
        <w:jc w:val="both"/>
        <w:rPr>
          <w:sz w:val="20"/>
        </w:rPr>
      </w:pPr>
      <w:r>
        <w:rPr>
          <w:sz w:val="20"/>
        </w:rPr>
        <w:t>Le candidat à une nomination définitive est réputé satisfaire à cette condition aussi longtemps qu’un rapport défavorable n’est pas rédigé à son sujet par le chef d’établissement ou par le délégué pédagogique du pouvoir organisateur. Si le membre du personnel estime que le contenu du rapport n'est pas fondé, il peut faire application des procédures de recours prévues en la matière à l’article 30, § 1er, du décret du 6 juin 1994.</w:t>
      </w:r>
    </w:p>
    <w:p>
      <w:pPr>
        <w:pStyle w:val="Paragraphedeliste"/>
        <w:spacing w:after="0" w:line="240" w:lineRule="auto"/>
        <w:jc w:val="both"/>
      </w:pPr>
    </w:p>
    <w:p>
      <w:pPr>
        <w:pStyle w:val="Titre3"/>
        <w:numPr>
          <w:ilvl w:val="1"/>
          <w:numId w:val="10"/>
        </w:numPr>
      </w:pPr>
      <w:bookmarkStart w:id="69" w:name="_Toc515540781"/>
      <w:r>
        <w:t>Situation des membres du personnel non visés au Chapitre II</w:t>
      </w:r>
      <w:bookmarkEnd w:id="69"/>
      <w:r>
        <w:t xml:space="preserve"> </w:t>
      </w:r>
    </w:p>
    <w:p>
      <w:pPr>
        <w:spacing w:after="0" w:line="276" w:lineRule="auto"/>
        <w:jc w:val="both"/>
        <w:rPr>
          <w:szCs w:val="24"/>
        </w:rPr>
      </w:pPr>
      <w:r>
        <w:rPr>
          <w:szCs w:val="24"/>
        </w:rPr>
        <w:t xml:space="preserve">Les membres du personnel ne relevant pas d’une des quatre catégories visée au Chapitre II, mais qui figurent néanmoins au classement des temporaires prioritaires pour la fonction de maître de psychomotricité se sont vus communiquer l’appel aux candidats à la nomination définitive dans le courant du mois de mai 2018 en vertu des règles statutaires habituelles, ainsi que l’appel particulier du mois de juin 2018 tel que visé au point 1. Toutefois, leur candidature ne sera prise en compte, pour une nomination dans les emplois de maîtres de psychomotricité lors de l’année scolaire 2018-2019, qu’après que les procédures visées aux 3.1. et 3.2. ci-dessous auront été respectées par leur pouvoir organisateur. Concrètement, ceux-ci ne développeront de droits sur les emplois de maître de psychomotricité lors de l’année scolaire 2018-2019 que lorsque les membres du personnel relevant d’une des quatre catégories auront été servis, conformément aux procédures visées aux 3.1. et 3.2. </w:t>
      </w:r>
    </w:p>
    <w:p>
      <w:pPr>
        <w:spacing w:after="0" w:line="240" w:lineRule="auto"/>
        <w:jc w:val="both"/>
      </w:pPr>
    </w:p>
    <w:p>
      <w:pPr>
        <w:pStyle w:val="Titre2"/>
        <w:numPr>
          <w:ilvl w:val="0"/>
          <w:numId w:val="10"/>
        </w:numPr>
      </w:pPr>
      <w:bookmarkStart w:id="70" w:name="_Toc515540782"/>
      <w:r>
        <w:t>Mode opératoire d’attribution des postes en trois temps</w:t>
      </w:r>
      <w:bookmarkEnd w:id="70"/>
      <w:r>
        <w:t xml:space="preserve"> </w:t>
      </w:r>
    </w:p>
    <w:p>
      <w:pPr>
        <w:pStyle w:val="Titre3"/>
        <w:numPr>
          <w:ilvl w:val="1"/>
          <w:numId w:val="10"/>
        </w:numPr>
      </w:pPr>
      <w:bookmarkStart w:id="71" w:name="_Toc515540783"/>
      <w:r>
        <w:t>PREMIÈRE ÉTAPE - Priorité à concurrence de la charge maximale précédemment exercée</w:t>
      </w:r>
      <w:bookmarkEnd w:id="71"/>
      <w:r>
        <w:t xml:space="preserve"> </w:t>
      </w:r>
    </w:p>
    <w:p>
      <w:pPr>
        <w:spacing w:after="0" w:line="276" w:lineRule="auto"/>
        <w:jc w:val="both"/>
      </w:pPr>
      <w:r>
        <w:t>Dans un premier temps, le pouvoir organisateur nomme à titre définitif les membres du personnel relevant d’une des quatre catégories visée au Chapitre II qui remplissent les conditions exposées aux points 2.1. et 2.2. :</w:t>
      </w:r>
    </w:p>
    <w:p>
      <w:pPr>
        <w:spacing w:after="0" w:line="276" w:lineRule="auto"/>
        <w:jc w:val="both"/>
        <w:rPr>
          <w:sz w:val="20"/>
        </w:rPr>
      </w:pPr>
    </w:p>
    <w:p>
      <w:pPr>
        <w:pStyle w:val="Paragraphedeliste"/>
        <w:numPr>
          <w:ilvl w:val="0"/>
          <w:numId w:val="11"/>
        </w:numPr>
        <w:spacing w:after="0" w:line="276" w:lineRule="auto"/>
        <w:jc w:val="both"/>
        <w:rPr>
          <w:b/>
        </w:rPr>
      </w:pPr>
      <w:r>
        <w:rPr>
          <w:b/>
        </w:rPr>
        <w:t>à concurrence de la charge la plus élevée que ces membres du personnel ont occupée dans la fonction de maître de psychomotricité sur une période continue de minimum six mois au cours des années scolaires 2015-2016, 2016-2017 et 2017-2018 ;</w:t>
      </w:r>
    </w:p>
    <w:p>
      <w:pPr>
        <w:pStyle w:val="Paragraphedeliste"/>
        <w:spacing w:after="0" w:line="276" w:lineRule="auto"/>
        <w:jc w:val="both"/>
        <w:rPr>
          <w:sz w:val="20"/>
        </w:rPr>
      </w:pPr>
      <w:r>
        <w:rPr>
          <w:sz w:val="20"/>
        </w:rPr>
        <w:lastRenderedPageBreak/>
        <w:t xml:space="preserve">La notion de période continue de minimum six mois est destinée à écarter les remplacements de courte durée. </w:t>
      </w:r>
      <w:r>
        <w:rPr>
          <w:sz w:val="20"/>
          <w:szCs w:val="20"/>
        </w:rPr>
        <w:t xml:space="preserve">On entend par « période continue », la période couverte par l’engagement ou la désignation, en ce compris donc les congés et absences règlementairement justifiés. </w:t>
      </w:r>
    </w:p>
    <w:p>
      <w:pPr>
        <w:pStyle w:val="Paragraphedeliste"/>
        <w:numPr>
          <w:ilvl w:val="0"/>
          <w:numId w:val="11"/>
        </w:numPr>
        <w:spacing w:after="0" w:line="276" w:lineRule="auto"/>
        <w:jc w:val="both"/>
        <w:rPr>
          <w:b/>
        </w:rPr>
      </w:pPr>
      <w:r>
        <w:rPr>
          <w:b/>
        </w:rPr>
        <w:t>dans l’ordre de leur ancienneté.</w:t>
      </w:r>
    </w:p>
    <w:p>
      <w:pPr>
        <w:spacing w:after="0" w:line="276" w:lineRule="auto"/>
        <w:ind w:left="708"/>
        <w:jc w:val="both"/>
        <w:rPr>
          <w:sz w:val="20"/>
        </w:rPr>
      </w:pPr>
      <w:r>
        <w:rPr>
          <w:sz w:val="20"/>
        </w:rPr>
        <w:t>L’ancienneté des candidats est calculée conformément à l’article 34 du décret du 6 juin 1994 (exception faite de l’application du coefficient réducteur de 0,3 sur les 1200 premiers jours de services rendus par les maîtres de psychomotricité ACS/APE)</w:t>
      </w:r>
      <w:r>
        <w:rPr>
          <w:sz w:val="20"/>
          <w:szCs w:val="24"/>
        </w:rPr>
        <w:t xml:space="preserve"> dont les règles principales font l’objet d’un rappel en page 8</w:t>
      </w:r>
      <w:r>
        <w:rPr>
          <w:sz w:val="20"/>
        </w:rPr>
        <w:t xml:space="preserve">. </w:t>
      </w:r>
    </w:p>
    <w:p>
      <w:pPr>
        <w:spacing w:after="0" w:line="276" w:lineRule="auto"/>
        <w:jc w:val="both"/>
      </w:pPr>
    </w:p>
    <w:p>
      <w:pPr>
        <w:pStyle w:val="Titre3"/>
        <w:numPr>
          <w:ilvl w:val="1"/>
          <w:numId w:val="10"/>
        </w:numPr>
      </w:pPr>
      <w:bookmarkStart w:id="72" w:name="_Toc515540784"/>
      <w:r>
        <w:t>DEUXIÈME ÉTAPE - Priorité au-delà de la charge maximale précédemment exercée</w:t>
      </w:r>
      <w:bookmarkEnd w:id="72"/>
    </w:p>
    <w:p>
      <w:pPr>
        <w:spacing w:after="0" w:line="276" w:lineRule="auto"/>
        <w:jc w:val="both"/>
        <w:rPr>
          <w:szCs w:val="24"/>
        </w:rPr>
      </w:pPr>
      <w:r>
        <w:rPr>
          <w:szCs w:val="24"/>
        </w:rPr>
        <w:t>Dans un second temps, le pouvoir organisateur nomme à titre définitif les membres du personnel relevant d’une des quatre catégories visée au Chapitre II qui remplissent les conditions exposées aux points 2.1. et 2.2. :</w:t>
      </w:r>
    </w:p>
    <w:p>
      <w:pPr>
        <w:spacing w:after="0" w:line="276" w:lineRule="auto"/>
        <w:jc w:val="both"/>
        <w:rPr>
          <w:szCs w:val="24"/>
        </w:rPr>
      </w:pPr>
    </w:p>
    <w:p>
      <w:pPr>
        <w:pStyle w:val="Paragraphedeliste"/>
        <w:numPr>
          <w:ilvl w:val="0"/>
          <w:numId w:val="11"/>
        </w:numPr>
        <w:spacing w:after="0" w:line="276" w:lineRule="auto"/>
        <w:jc w:val="both"/>
        <w:rPr>
          <w:b/>
          <w:szCs w:val="24"/>
        </w:rPr>
      </w:pPr>
      <w:r>
        <w:rPr>
          <w:b/>
          <w:szCs w:val="24"/>
        </w:rPr>
        <w:t>au-delà de la charge la plus élevée que ces membres du personnel ont occupée dans la fonction de maître de psychomotricité sur une période continue de minimum six mois au cours des années scolaires 2015-2016, 2016-2017 et 2017-2018 ;</w:t>
      </w:r>
    </w:p>
    <w:p>
      <w:pPr>
        <w:pStyle w:val="Paragraphedeliste"/>
        <w:spacing w:after="0" w:line="276" w:lineRule="auto"/>
        <w:jc w:val="both"/>
        <w:rPr>
          <w:sz w:val="20"/>
        </w:rPr>
      </w:pPr>
      <w:r>
        <w:rPr>
          <w:sz w:val="20"/>
        </w:rPr>
        <w:t xml:space="preserve">Dans ce second temps, la dévolution des emplois restant à pourvoir se fera au profit des extensions de charge, et ce à concurrence d’une charge complète. Les périodes attribuées ne peuvent toutefois excéder le nombre de périodes exigé pour une fonction à prestations complètes. </w:t>
      </w:r>
    </w:p>
    <w:p>
      <w:pPr>
        <w:pStyle w:val="Paragraphedeliste"/>
        <w:numPr>
          <w:ilvl w:val="0"/>
          <w:numId w:val="11"/>
        </w:numPr>
        <w:spacing w:after="0" w:line="276" w:lineRule="auto"/>
        <w:jc w:val="both"/>
        <w:rPr>
          <w:b/>
          <w:szCs w:val="24"/>
        </w:rPr>
      </w:pPr>
      <w:r>
        <w:rPr>
          <w:b/>
          <w:szCs w:val="24"/>
        </w:rPr>
        <w:t>dans l’ordre de leur ancienneté.</w:t>
      </w:r>
    </w:p>
    <w:p>
      <w:pPr>
        <w:spacing w:after="0" w:line="276" w:lineRule="auto"/>
        <w:ind w:left="708"/>
        <w:jc w:val="both"/>
        <w:rPr>
          <w:sz w:val="20"/>
          <w:szCs w:val="24"/>
        </w:rPr>
      </w:pPr>
      <w:r>
        <w:rPr>
          <w:sz w:val="20"/>
          <w:szCs w:val="24"/>
        </w:rPr>
        <w:t xml:space="preserve">L’ancienneté des candidats est calculée conformément à l’article 34 du décret du 6 juin 1994 (exception faite de l’application du coefficient réducteur de 0,3 sur les 1200 premiers jours de services rendus par les maîtres de psychomotricité ACS/APE) dont les règles principales font l’objet d’un rappel en page </w:t>
      </w:r>
      <w:r>
        <w:rPr>
          <w:sz w:val="20"/>
          <w:szCs w:val="24"/>
        </w:rPr>
        <w:fldChar w:fldCharType="begin"/>
      </w:r>
      <w:r>
        <w:rPr>
          <w:sz w:val="20"/>
          <w:szCs w:val="24"/>
        </w:rPr>
        <w:instrText xml:space="preserve"> PAGEREF  article34  \* MERGEFORMAT </w:instrText>
      </w:r>
      <w:r>
        <w:rPr>
          <w:sz w:val="20"/>
          <w:szCs w:val="24"/>
        </w:rPr>
        <w:fldChar w:fldCharType="separate"/>
      </w:r>
      <w:r>
        <w:rPr>
          <w:noProof/>
          <w:sz w:val="20"/>
          <w:szCs w:val="24"/>
        </w:rPr>
        <w:t>9</w:t>
      </w:r>
      <w:r>
        <w:rPr>
          <w:sz w:val="20"/>
          <w:szCs w:val="24"/>
        </w:rPr>
        <w:fldChar w:fldCharType="end"/>
      </w:r>
      <w:r>
        <w:rPr>
          <w:sz w:val="20"/>
          <w:szCs w:val="24"/>
        </w:rPr>
        <w:t xml:space="preserve">. </w:t>
      </w:r>
    </w:p>
    <w:p>
      <w:pPr>
        <w:spacing w:after="0" w:line="276" w:lineRule="auto"/>
        <w:ind w:left="708"/>
        <w:jc w:val="both"/>
        <w:rPr>
          <w:sz w:val="24"/>
          <w:szCs w:val="24"/>
        </w:rPr>
      </w:pPr>
    </w:p>
    <w:p>
      <w:pPr>
        <w:pStyle w:val="Titre3"/>
        <w:numPr>
          <w:ilvl w:val="1"/>
          <w:numId w:val="10"/>
        </w:numPr>
      </w:pPr>
      <w:bookmarkStart w:id="73" w:name="_Toc515540785"/>
      <w:r>
        <w:t>TROISIÈME ÉTAPE - Attribution des emplois restants</w:t>
      </w:r>
      <w:bookmarkEnd w:id="73"/>
    </w:p>
    <w:p>
      <w:pPr>
        <w:spacing w:after="0" w:line="276" w:lineRule="auto"/>
        <w:jc w:val="both"/>
      </w:pPr>
      <w:r>
        <w:t xml:space="preserve">Après avoir épuisé les procédures visées aux points 3.1. et 3.2., le pouvoir organisateur procède à la nomination à titre définitif dans les emplois restants sur base des règles statutaires classiques issues du décret du 6 juin 1994. </w:t>
      </w:r>
    </w:p>
    <w:p>
      <w:pPr>
        <w:spacing w:after="0" w:line="276" w:lineRule="auto"/>
        <w:jc w:val="both"/>
      </w:pPr>
      <w:r>
        <w:t xml:space="preserve">En effet, une fois que les membres du personnel relevant de l’une des quatre catégories visée au Chapitre II, qui répondent aux conditions de nomination, auront bénéficié des emplois définitivement vacants selon les procédures visées plus haut, les autres membres du personnel qui répondent aux conditions de nomination pourront être nommés dans les emplois définitivement vacants dans la fonction de maître de psychomotricité restant à pourvoir. </w:t>
      </w:r>
    </w:p>
    <w:p>
      <w:pPr>
        <w:spacing w:after="0" w:line="276" w:lineRule="auto"/>
        <w:jc w:val="both"/>
      </w:pPr>
    </w:p>
    <w:p>
      <w:pPr>
        <w:spacing w:after="0" w:line="276" w:lineRule="auto"/>
        <w:jc w:val="both"/>
        <w:rPr>
          <w:u w:val="single"/>
        </w:rPr>
      </w:pPr>
      <w:r>
        <w:rPr>
          <w:u w:val="single"/>
        </w:rPr>
        <w:t>C’est donc à ce moment-là, seulement, que le pouvoir organisateur pourra nommer à titre définitif :</w:t>
      </w:r>
    </w:p>
    <w:p>
      <w:pPr>
        <w:spacing w:after="0" w:line="276" w:lineRule="auto"/>
        <w:jc w:val="both"/>
      </w:pPr>
      <w:r>
        <w:t>-</w:t>
      </w:r>
      <w:r>
        <w:tab/>
        <w:t>les membres de son personnel nommés pour une charge incomplète dans une autre fonction qui possèdent le titre requis ou le titre suffisant pour exercer la fonction de maître de psychomotricité ;</w:t>
      </w:r>
    </w:p>
    <w:p>
      <w:pPr>
        <w:spacing w:after="0" w:line="276" w:lineRule="auto"/>
        <w:jc w:val="both"/>
      </w:pPr>
      <w:r>
        <w:t>-</w:t>
      </w:r>
      <w:r>
        <w:tab/>
        <w:t>les autres membres du personnel qui répondent aux conditions de nomination et disposent du titre requis ou suffisant pour exercer la fonction de maître de psychomotricité.</w:t>
      </w:r>
    </w:p>
    <w:p>
      <w:r>
        <w:br w:type="page"/>
      </w:r>
    </w:p>
    <w:p>
      <w:pPr>
        <w:pStyle w:val="Titre1"/>
      </w:pPr>
      <w:bookmarkStart w:id="74" w:name="_Toc515540786"/>
      <w:r>
        <w:lastRenderedPageBreak/>
        <w:t>ANNEXE 1 – CALENDRIER DES DÉMARCHES À ACCOMPLIR</w:t>
      </w:r>
      <w:bookmarkEnd w:id="74"/>
      <w:r>
        <w:t xml:space="preserve">  </w:t>
      </w:r>
    </w:p>
    <w:p>
      <w:pPr>
        <w:pStyle w:val="Paragraphedeliste"/>
        <w:numPr>
          <w:ilvl w:val="0"/>
          <w:numId w:val="35"/>
        </w:numPr>
        <w:rPr>
          <w:b/>
          <w:sz w:val="24"/>
        </w:rPr>
      </w:pPr>
      <w:r>
        <w:rPr>
          <w:b/>
          <w:sz w:val="24"/>
        </w:rPr>
        <w:t>Démarche passée</w:t>
      </w:r>
    </w:p>
    <w:tbl>
      <w:tblPr>
        <w:tblStyle w:val="Grilledutableau"/>
        <w:tblW w:w="0" w:type="auto"/>
        <w:tblLook w:val="04A0" w:firstRow="1" w:lastRow="0" w:firstColumn="1" w:lastColumn="0" w:noHBand="0" w:noVBand="1"/>
      </w:tblPr>
      <w:tblGrid>
        <w:gridCol w:w="1980"/>
        <w:gridCol w:w="4678"/>
        <w:gridCol w:w="2404"/>
      </w:tblGrid>
      <w:tr>
        <w:tc>
          <w:tcPr>
            <w:tcW w:w="1980" w:type="dxa"/>
          </w:tcPr>
          <w:p>
            <w:pPr>
              <w:jc w:val="center"/>
              <w:rPr>
                <w:b/>
                <w:sz w:val="24"/>
              </w:rPr>
            </w:pPr>
          </w:p>
          <w:p>
            <w:pPr>
              <w:jc w:val="center"/>
              <w:rPr>
                <w:b/>
                <w:sz w:val="24"/>
              </w:rPr>
            </w:pPr>
            <w:r>
              <w:rPr>
                <w:b/>
                <w:sz w:val="24"/>
              </w:rPr>
              <w:t>DATE</w:t>
            </w:r>
          </w:p>
          <w:p>
            <w:pPr>
              <w:jc w:val="center"/>
              <w:rPr>
                <w:b/>
              </w:rPr>
            </w:pPr>
          </w:p>
        </w:tc>
        <w:tc>
          <w:tcPr>
            <w:tcW w:w="4678" w:type="dxa"/>
          </w:tcPr>
          <w:p>
            <w:pPr>
              <w:rPr>
                <w:b/>
                <w:sz w:val="24"/>
              </w:rPr>
            </w:pPr>
          </w:p>
          <w:p>
            <w:pPr>
              <w:jc w:val="center"/>
              <w:rPr>
                <w:b/>
              </w:rPr>
            </w:pPr>
            <w:r>
              <w:rPr>
                <w:b/>
                <w:sz w:val="24"/>
              </w:rPr>
              <w:t>QUELLES DÉMARCHES</w:t>
            </w:r>
          </w:p>
        </w:tc>
        <w:tc>
          <w:tcPr>
            <w:tcW w:w="2404" w:type="dxa"/>
          </w:tcPr>
          <w:p>
            <w:pPr>
              <w:jc w:val="center"/>
              <w:rPr>
                <w:b/>
                <w:sz w:val="24"/>
              </w:rPr>
            </w:pPr>
          </w:p>
          <w:p>
            <w:pPr>
              <w:jc w:val="center"/>
              <w:rPr>
                <w:b/>
              </w:rPr>
            </w:pPr>
            <w:r>
              <w:rPr>
                <w:b/>
                <w:sz w:val="24"/>
              </w:rPr>
              <w:t>PAR QUI</w:t>
            </w:r>
          </w:p>
        </w:tc>
      </w:tr>
      <w:tr>
        <w:tc>
          <w:tcPr>
            <w:tcW w:w="1980" w:type="dxa"/>
          </w:tcPr>
          <w:p>
            <w:r>
              <w:rPr>
                <w:b/>
              </w:rPr>
              <w:t>Avant le 31 mai 2018</w:t>
            </w:r>
          </w:p>
        </w:tc>
        <w:tc>
          <w:tcPr>
            <w:tcW w:w="4678" w:type="dxa"/>
          </w:tcPr>
          <w:p>
            <w:r>
              <w:t>Introduction d’une candidature par lettre recommandée en vue de bénéficier d’une priorité à la désignation à titre temporaire dans la fonction de maître de psychomotricité.</w:t>
            </w:r>
          </w:p>
        </w:tc>
        <w:tc>
          <w:tcPr>
            <w:tcW w:w="2404" w:type="dxa"/>
          </w:tcPr>
          <w:p>
            <w:r>
              <w:t>Les membres du personnel prioritaires au sens de l’article 24, § 1</w:t>
            </w:r>
            <w:r>
              <w:rPr>
                <w:vertAlign w:val="superscript"/>
              </w:rPr>
              <w:t>er</w:t>
            </w:r>
            <w:r>
              <w:t>, du décret du 6 juin 1994</w:t>
            </w:r>
            <w:r>
              <w:rPr>
                <w:vertAlign w:val="superscript"/>
              </w:rPr>
              <w:footnoteReference w:id="31"/>
            </w:r>
            <w:r>
              <w:rPr>
                <w:rStyle w:val="Appelnotedebasdep"/>
              </w:rPr>
              <w:footnoteReference w:id="32"/>
            </w:r>
            <w:r>
              <w:t xml:space="preserve">, visés ou </w:t>
            </w:r>
            <w:r>
              <w:rPr>
                <w:b/>
              </w:rPr>
              <w:t>non visés au Chapitre II</w:t>
            </w:r>
          </w:p>
        </w:tc>
      </w:tr>
    </w:tbl>
    <w:p/>
    <w:p>
      <w:pPr>
        <w:pStyle w:val="Paragraphedeliste"/>
        <w:numPr>
          <w:ilvl w:val="0"/>
          <w:numId w:val="35"/>
        </w:numPr>
        <w:rPr>
          <w:b/>
          <w:sz w:val="24"/>
        </w:rPr>
      </w:pPr>
      <w:r>
        <w:rPr>
          <w:b/>
          <w:sz w:val="24"/>
        </w:rPr>
        <w:t>Démarches à venir</w:t>
      </w:r>
    </w:p>
    <w:tbl>
      <w:tblPr>
        <w:tblStyle w:val="Grilledutableau1"/>
        <w:tblW w:w="0" w:type="auto"/>
        <w:tblLook w:val="04A0" w:firstRow="1" w:lastRow="0" w:firstColumn="1" w:lastColumn="0" w:noHBand="0" w:noVBand="1"/>
      </w:tblPr>
      <w:tblGrid>
        <w:gridCol w:w="1980"/>
        <w:gridCol w:w="4678"/>
        <w:gridCol w:w="2404"/>
      </w:tblGrid>
      <w:tr>
        <w:tc>
          <w:tcPr>
            <w:tcW w:w="1980" w:type="dxa"/>
          </w:tcPr>
          <w:p>
            <w:pPr>
              <w:jc w:val="center"/>
              <w:rPr>
                <w:b/>
                <w:sz w:val="24"/>
              </w:rPr>
            </w:pPr>
          </w:p>
          <w:p>
            <w:pPr>
              <w:jc w:val="center"/>
              <w:rPr>
                <w:b/>
                <w:sz w:val="24"/>
              </w:rPr>
            </w:pPr>
            <w:r>
              <w:rPr>
                <w:b/>
                <w:sz w:val="24"/>
              </w:rPr>
              <w:t>DATE </w:t>
            </w:r>
          </w:p>
          <w:p>
            <w:pPr>
              <w:jc w:val="center"/>
              <w:rPr>
                <w:b/>
                <w:sz w:val="24"/>
              </w:rPr>
            </w:pPr>
          </w:p>
        </w:tc>
        <w:tc>
          <w:tcPr>
            <w:tcW w:w="4678" w:type="dxa"/>
          </w:tcPr>
          <w:p>
            <w:pPr>
              <w:jc w:val="center"/>
              <w:rPr>
                <w:b/>
                <w:sz w:val="24"/>
              </w:rPr>
            </w:pPr>
          </w:p>
          <w:p>
            <w:pPr>
              <w:jc w:val="center"/>
              <w:rPr>
                <w:b/>
                <w:sz w:val="24"/>
              </w:rPr>
            </w:pPr>
            <w:r>
              <w:rPr>
                <w:b/>
                <w:sz w:val="24"/>
              </w:rPr>
              <w:t>QUELLES DÉMARCHES</w:t>
            </w:r>
          </w:p>
        </w:tc>
        <w:tc>
          <w:tcPr>
            <w:tcW w:w="2404" w:type="dxa"/>
          </w:tcPr>
          <w:p>
            <w:pPr>
              <w:jc w:val="center"/>
              <w:rPr>
                <w:b/>
                <w:sz w:val="24"/>
              </w:rPr>
            </w:pPr>
          </w:p>
          <w:p>
            <w:pPr>
              <w:jc w:val="center"/>
              <w:rPr>
                <w:b/>
                <w:sz w:val="24"/>
              </w:rPr>
            </w:pPr>
            <w:r>
              <w:rPr>
                <w:b/>
                <w:sz w:val="24"/>
              </w:rPr>
              <w:t>PAR QUI</w:t>
            </w:r>
          </w:p>
        </w:tc>
      </w:tr>
      <w:tr>
        <w:tc>
          <w:tcPr>
            <w:tcW w:w="1980" w:type="dxa"/>
          </w:tcPr>
          <w:p>
            <w:pPr>
              <w:rPr>
                <w:b/>
              </w:rPr>
            </w:pPr>
            <w:r>
              <w:rPr>
                <w:b/>
              </w:rPr>
              <w:t>Dès la publication de la présente circulaire</w:t>
            </w:r>
          </w:p>
        </w:tc>
        <w:tc>
          <w:tcPr>
            <w:tcW w:w="4678" w:type="dxa"/>
          </w:tcPr>
          <w:p>
            <w:r>
              <w:t>Communication aux membres du personnel visés au Chapitre II des délais particuliers d’introduction des candidatures en vue d’une désignation à titre temporaire</w:t>
            </w:r>
            <w:r>
              <w:rPr>
                <w:vertAlign w:val="superscript"/>
              </w:rPr>
              <w:footnoteReference w:id="33"/>
            </w:r>
            <w:r>
              <w:t xml:space="preserve"> et d’une nomination dans la fonction de maître de psychomotricité pour l’année scolaire 2018-2019.</w:t>
            </w:r>
          </w:p>
        </w:tc>
        <w:tc>
          <w:tcPr>
            <w:tcW w:w="2404" w:type="dxa"/>
          </w:tcPr>
          <w:p>
            <w:r>
              <w:t>Le pouvoir organisateur</w:t>
            </w:r>
          </w:p>
        </w:tc>
      </w:tr>
      <w:tr>
        <w:tc>
          <w:tcPr>
            <w:tcW w:w="1980" w:type="dxa"/>
          </w:tcPr>
          <w:p>
            <w:pPr>
              <w:rPr>
                <w:b/>
              </w:rPr>
            </w:pPr>
            <w:r>
              <w:rPr>
                <w:b/>
              </w:rPr>
              <w:t>Dans le courant du mois de juin 2018</w:t>
            </w:r>
          </w:p>
        </w:tc>
        <w:tc>
          <w:tcPr>
            <w:tcW w:w="4678" w:type="dxa"/>
          </w:tcPr>
          <w:p>
            <w:r>
              <w:t>Lancement de l’appel aux candidats à la nomination</w:t>
            </w:r>
            <w:r>
              <w:rPr>
                <w:vertAlign w:val="superscript"/>
              </w:rPr>
              <w:footnoteReference w:id="34"/>
            </w:r>
            <w:r>
              <w:t xml:space="preserve"> dans la fonction de maître de psychomotricité pour l’année scolaire 2018-2019.</w:t>
            </w:r>
            <w:r>
              <w:br/>
            </w:r>
            <w:r>
              <w:rPr>
                <w:u w:val="single"/>
              </w:rPr>
              <w:t>Cet appel est communiqué :</w:t>
            </w:r>
            <w:r>
              <w:t xml:space="preserve"> </w:t>
            </w:r>
          </w:p>
          <w:p>
            <w:r>
              <w:t>1° aux membres du personnel visés au Chapitre II </w:t>
            </w:r>
          </w:p>
          <w:p>
            <w:pPr>
              <w:spacing w:line="276" w:lineRule="auto"/>
              <w:jc w:val="both"/>
              <w:rPr>
                <w:szCs w:val="24"/>
              </w:rPr>
            </w:pPr>
            <w:r>
              <w:t xml:space="preserve">2° </w:t>
            </w:r>
            <w:r>
              <w:rPr>
                <w:szCs w:val="24"/>
              </w:rPr>
              <w:t xml:space="preserve">aux membres du personnel figurant au classement des temporaires prioritaires pour la fonction de maître de psychomotricité.  </w:t>
            </w:r>
          </w:p>
        </w:tc>
        <w:tc>
          <w:tcPr>
            <w:tcW w:w="2404" w:type="dxa"/>
          </w:tcPr>
          <w:p>
            <w:r>
              <w:t>Le pouvoir organisateur</w:t>
            </w:r>
          </w:p>
        </w:tc>
      </w:tr>
      <w:tr>
        <w:tc>
          <w:tcPr>
            <w:tcW w:w="1980" w:type="dxa"/>
          </w:tcPr>
          <w:p>
            <w:pPr>
              <w:rPr>
                <w:b/>
              </w:rPr>
            </w:pPr>
            <w:r>
              <w:rPr>
                <w:b/>
              </w:rPr>
              <w:t>Pour le 30 juin 2018 au plus tard</w:t>
            </w:r>
          </w:p>
        </w:tc>
        <w:tc>
          <w:tcPr>
            <w:tcW w:w="4678" w:type="dxa"/>
          </w:tcPr>
          <w:p>
            <w:r>
              <w:t>Introduction d’une candidature par lettre recommandée en vue d’une désignation à titre temporaire</w:t>
            </w:r>
            <w:r>
              <w:rPr>
                <w:vertAlign w:val="superscript"/>
              </w:rPr>
              <w:footnoteReference w:id="35"/>
            </w:r>
            <w:r>
              <w:t xml:space="preserve"> dans la fonction de maître de psychomotricité pour l’année scolaire 2018-2019.</w:t>
            </w:r>
          </w:p>
          <w:p>
            <w:pPr>
              <w:rPr>
                <w:b/>
                <w:u w:val="single"/>
              </w:rPr>
            </w:pPr>
            <w:r>
              <w:rPr>
                <w:b/>
                <w:u w:val="single"/>
              </w:rPr>
              <w:t xml:space="preserve">Attention : Les maîtres de psychomotricité </w:t>
            </w:r>
            <w:r>
              <w:rPr>
                <w:b/>
                <w:u w:val="single"/>
              </w:rPr>
              <w:lastRenderedPageBreak/>
              <w:t>ACS/APE utiliseront impérativement le modèle d’acte de candidature fourni en annexe 3 de la présente circulaire</w:t>
            </w:r>
            <w:r>
              <w:rPr>
                <w:rStyle w:val="Appelnotedebasdep"/>
                <w:b/>
                <w:u w:val="single"/>
              </w:rPr>
              <w:footnoteReference w:id="36"/>
            </w:r>
            <w:r>
              <w:rPr>
                <w:b/>
                <w:u w:val="single"/>
              </w:rPr>
              <w:t>.</w:t>
            </w:r>
          </w:p>
        </w:tc>
        <w:tc>
          <w:tcPr>
            <w:tcW w:w="2404" w:type="dxa"/>
          </w:tcPr>
          <w:p>
            <w:r>
              <w:lastRenderedPageBreak/>
              <w:t>Les membres du personnel visés au Chapitre II</w:t>
            </w:r>
          </w:p>
        </w:tc>
      </w:tr>
      <w:tr>
        <w:tc>
          <w:tcPr>
            <w:tcW w:w="1980" w:type="dxa"/>
          </w:tcPr>
          <w:p>
            <w:pPr>
              <w:rPr>
                <w:b/>
              </w:rPr>
            </w:pPr>
            <w:r>
              <w:rPr>
                <w:b/>
              </w:rPr>
              <w:t>Pour le 30 juin 2018 au plus tard</w:t>
            </w:r>
          </w:p>
        </w:tc>
        <w:tc>
          <w:tcPr>
            <w:tcW w:w="4678" w:type="dxa"/>
          </w:tcPr>
          <w:p>
            <w:r>
              <w:t>Introduction d’un acte de candidature en vue d’une nomination</w:t>
            </w:r>
            <w:r>
              <w:rPr>
                <w:vertAlign w:val="superscript"/>
              </w:rPr>
              <w:footnoteReference w:id="37"/>
            </w:r>
            <w:r>
              <w:t xml:space="preserve"> dans la forme fixée par l’appel aux candidats</w:t>
            </w:r>
            <w:r>
              <w:rPr>
                <w:vertAlign w:val="superscript"/>
              </w:rPr>
              <w:footnoteReference w:id="38"/>
            </w:r>
            <w:r>
              <w:t>.</w:t>
            </w:r>
          </w:p>
        </w:tc>
        <w:tc>
          <w:tcPr>
            <w:tcW w:w="2404" w:type="dxa"/>
          </w:tcPr>
          <w:p>
            <w:r>
              <w:t>1° Les membres du personnel visés au Chapitre II </w:t>
            </w:r>
          </w:p>
          <w:p>
            <w:r>
              <w:t xml:space="preserve">2° Les </w:t>
            </w:r>
            <w:r>
              <w:rPr>
                <w:szCs w:val="24"/>
              </w:rPr>
              <w:t>membres du personnel figurant au classement des temporaires prioritaires pour la fonction de maître de psychomotricité</w:t>
            </w:r>
          </w:p>
        </w:tc>
      </w:tr>
      <w:tr>
        <w:tc>
          <w:tcPr>
            <w:tcW w:w="1980" w:type="dxa"/>
          </w:tcPr>
          <w:p>
            <w:pPr>
              <w:rPr>
                <w:b/>
              </w:rPr>
            </w:pPr>
            <w:r>
              <w:rPr>
                <w:b/>
              </w:rPr>
              <w:t>Pour le 6 juillet 2018 au plus tard</w:t>
            </w:r>
          </w:p>
        </w:tc>
        <w:tc>
          <w:tcPr>
            <w:tcW w:w="4678" w:type="dxa"/>
          </w:tcPr>
          <w:p>
            <w:r>
              <w:t>Remettre aux pouvoirs organisateurs les documents justificatifs en vue de compléter un acte de candidature à la désignation à titre temporaire</w:t>
            </w:r>
            <w:r>
              <w:rPr>
                <w:rStyle w:val="Appelnotedebasdep"/>
              </w:rPr>
              <w:footnoteReference w:id="39"/>
            </w:r>
            <w:r>
              <w:t>.</w:t>
            </w:r>
          </w:p>
        </w:tc>
        <w:tc>
          <w:tcPr>
            <w:tcW w:w="2404" w:type="dxa"/>
          </w:tcPr>
          <w:p>
            <w:r>
              <w:t>Les membres du personnel ACS/APE visés au Chapitre II qui souhaitent faire valoriser leurs services accomplis auprès de chacun ou certains des pouvoirs organisateurs au sein duquel ils ont exercé leurs fonctions dans le cadre d’un emploi partagé</w:t>
            </w:r>
          </w:p>
        </w:tc>
      </w:tr>
      <w:tr>
        <w:tc>
          <w:tcPr>
            <w:tcW w:w="1980" w:type="dxa"/>
          </w:tcPr>
          <w:p>
            <w:pPr>
              <w:rPr>
                <w:b/>
              </w:rPr>
            </w:pPr>
            <w:r>
              <w:rPr>
                <w:b/>
              </w:rPr>
              <w:t>Avant le 1</w:t>
            </w:r>
            <w:r>
              <w:rPr>
                <w:b/>
                <w:vertAlign w:val="superscript"/>
              </w:rPr>
              <w:t>er</w:t>
            </w:r>
            <w:r>
              <w:rPr>
                <w:b/>
              </w:rPr>
              <w:t xml:space="preserve"> septembre 2018</w:t>
            </w:r>
          </w:p>
        </w:tc>
        <w:tc>
          <w:tcPr>
            <w:tcW w:w="4678" w:type="dxa"/>
          </w:tcPr>
          <w:p>
            <w:proofErr w:type="spellStart"/>
            <w:r>
              <w:t>Recalcul</w:t>
            </w:r>
            <w:proofErr w:type="spellEnd"/>
            <w:r>
              <w:t xml:space="preserve"> de l’ancienneté des maîtres de psychomotricité </w:t>
            </w:r>
            <w:r>
              <w:rPr>
                <w:b/>
              </w:rPr>
              <w:t>ACS/APE</w:t>
            </w:r>
            <w:r>
              <w:rPr>
                <w:b/>
                <w:vertAlign w:val="superscript"/>
              </w:rPr>
              <w:footnoteReference w:id="40"/>
            </w:r>
            <w:r>
              <w:t xml:space="preserve"> qui ont fait acte de candidature à la désignation à titre temporaire et/ou à la nomination.</w:t>
            </w:r>
          </w:p>
        </w:tc>
        <w:tc>
          <w:tcPr>
            <w:tcW w:w="2404" w:type="dxa"/>
          </w:tcPr>
          <w:p>
            <w:r>
              <w:t>Le pouvoir organisateur</w:t>
            </w:r>
          </w:p>
          <w:p/>
        </w:tc>
      </w:tr>
      <w:tr>
        <w:tc>
          <w:tcPr>
            <w:tcW w:w="1980" w:type="dxa"/>
          </w:tcPr>
          <w:p>
            <w:pPr>
              <w:rPr>
                <w:b/>
              </w:rPr>
            </w:pPr>
            <w:r>
              <w:rPr>
                <w:b/>
              </w:rPr>
              <w:t>Avant le 1</w:t>
            </w:r>
            <w:r>
              <w:rPr>
                <w:b/>
                <w:vertAlign w:val="superscript"/>
              </w:rPr>
              <w:t>er</w:t>
            </w:r>
            <w:r>
              <w:rPr>
                <w:b/>
              </w:rPr>
              <w:t xml:space="preserve"> septembre 2018</w:t>
            </w:r>
          </w:p>
        </w:tc>
        <w:tc>
          <w:tcPr>
            <w:tcW w:w="4678" w:type="dxa"/>
          </w:tcPr>
          <w:p>
            <w:r>
              <w:t xml:space="preserve">Établissement d’un nouveau classement des temporaires prioritaires qui tient compte des dérogations apportées par le décret (notamment au niveau du </w:t>
            </w:r>
            <w:proofErr w:type="spellStart"/>
            <w:r>
              <w:t>recalcul</w:t>
            </w:r>
            <w:proofErr w:type="spellEnd"/>
            <w:r>
              <w:t xml:space="preserve"> de l’ancienneté</w:t>
            </w:r>
            <w:r>
              <w:rPr>
                <w:vertAlign w:val="superscript"/>
              </w:rPr>
              <w:footnoteReference w:id="41"/>
            </w:r>
            <w:r>
              <w:t xml:space="preserve"> et des assouplissements</w:t>
            </w:r>
            <w:r>
              <w:rPr>
                <w:vertAlign w:val="superscript"/>
              </w:rPr>
              <w:footnoteReference w:id="42"/>
            </w:r>
            <w:r>
              <w:t>).</w:t>
            </w:r>
          </w:p>
        </w:tc>
        <w:tc>
          <w:tcPr>
            <w:tcW w:w="2404" w:type="dxa"/>
          </w:tcPr>
          <w:p>
            <w:r>
              <w:t>Le pouvoir organisateur</w:t>
            </w:r>
          </w:p>
        </w:tc>
      </w:tr>
      <w:tr>
        <w:tc>
          <w:tcPr>
            <w:tcW w:w="1980" w:type="dxa"/>
          </w:tcPr>
          <w:p>
            <w:pPr>
              <w:rPr>
                <w:b/>
              </w:rPr>
            </w:pPr>
            <w:r>
              <w:rPr>
                <w:b/>
              </w:rPr>
              <w:t>À la rentrée scolaire 2018-2019</w:t>
            </w:r>
          </w:p>
        </w:tc>
        <w:tc>
          <w:tcPr>
            <w:tcW w:w="4678" w:type="dxa"/>
          </w:tcPr>
          <w:p>
            <w:r>
              <w:t>Désignations à titre temporaire selon les procédures particulières exposées au point 2 du Chapitre IV.</w:t>
            </w:r>
          </w:p>
        </w:tc>
        <w:tc>
          <w:tcPr>
            <w:tcW w:w="2404" w:type="dxa"/>
          </w:tcPr>
          <w:p>
            <w:r>
              <w:t>Le pouvoir organisateur</w:t>
            </w:r>
          </w:p>
        </w:tc>
      </w:tr>
      <w:tr>
        <w:tc>
          <w:tcPr>
            <w:tcW w:w="1980" w:type="dxa"/>
          </w:tcPr>
          <w:p>
            <w:pPr>
              <w:rPr>
                <w:b/>
              </w:rPr>
            </w:pPr>
            <w:r>
              <w:rPr>
                <w:b/>
              </w:rPr>
              <w:t>Le 1</w:t>
            </w:r>
            <w:r>
              <w:rPr>
                <w:b/>
                <w:vertAlign w:val="superscript"/>
              </w:rPr>
              <w:t>er</w:t>
            </w:r>
            <w:r>
              <w:rPr>
                <w:b/>
              </w:rPr>
              <w:t xml:space="preserve"> octobre 2018</w:t>
            </w:r>
          </w:p>
        </w:tc>
        <w:tc>
          <w:tcPr>
            <w:tcW w:w="4678" w:type="dxa"/>
          </w:tcPr>
          <w:p>
            <w:proofErr w:type="spellStart"/>
            <w:r>
              <w:t>Recalcul</w:t>
            </w:r>
            <w:proofErr w:type="spellEnd"/>
            <w:r>
              <w:t xml:space="preserve"> des périodes de psychomotricité afin d’avoir l’assurance que les emplois qui ont fait l’objet d’un appel à la nomination existent toujours. </w:t>
            </w:r>
          </w:p>
        </w:tc>
        <w:tc>
          <w:tcPr>
            <w:tcW w:w="2404" w:type="dxa"/>
          </w:tcPr>
          <w:p>
            <w:r>
              <w:t xml:space="preserve">Le pouvoir organisateur </w:t>
            </w:r>
          </w:p>
        </w:tc>
      </w:tr>
      <w:tr>
        <w:tc>
          <w:tcPr>
            <w:tcW w:w="1980" w:type="dxa"/>
          </w:tcPr>
          <w:p>
            <w:pPr>
              <w:rPr>
                <w:b/>
              </w:rPr>
            </w:pPr>
            <w:r>
              <w:rPr>
                <w:b/>
              </w:rPr>
              <w:t>Pour le 31 octobre 2018 au plus tard</w:t>
            </w:r>
          </w:p>
        </w:tc>
        <w:tc>
          <w:tcPr>
            <w:tcW w:w="4678" w:type="dxa"/>
          </w:tcPr>
          <w:p>
            <w:r>
              <w:t>Établissement d’un rapport de service pour les candidats à la nomination définitive</w:t>
            </w:r>
            <w:r>
              <w:rPr>
                <w:rStyle w:val="Appelnotedebasdep"/>
              </w:rPr>
              <w:footnoteReference w:id="43"/>
            </w:r>
          </w:p>
        </w:tc>
        <w:tc>
          <w:tcPr>
            <w:tcW w:w="2404" w:type="dxa"/>
          </w:tcPr>
          <w:p>
            <w:r>
              <w:t>Le pouvoir organisateur</w:t>
            </w:r>
          </w:p>
        </w:tc>
      </w:tr>
      <w:tr>
        <w:tc>
          <w:tcPr>
            <w:tcW w:w="1980" w:type="dxa"/>
          </w:tcPr>
          <w:p>
            <w:pPr>
              <w:rPr>
                <w:b/>
              </w:rPr>
            </w:pPr>
            <w:r>
              <w:rPr>
                <w:b/>
              </w:rPr>
              <w:lastRenderedPageBreak/>
              <w:t>Au plus tard lors de la seconde réunion du pouvoir organisateur qui suit la réception de la dépêche ministérielle fixant le nombre d’emplois subventionnés pour l’année scolaire</w:t>
            </w:r>
            <w:r>
              <w:rPr>
                <w:rStyle w:val="Appelnotedebasdep"/>
                <w:b/>
              </w:rPr>
              <w:footnoteReference w:id="44"/>
            </w:r>
            <w:r>
              <w:rPr>
                <w:b/>
              </w:rPr>
              <w:t>.</w:t>
            </w:r>
          </w:p>
        </w:tc>
        <w:tc>
          <w:tcPr>
            <w:tcW w:w="4678" w:type="dxa"/>
          </w:tcPr>
          <w:p>
            <w:r>
              <w:t>Nominations selon les procédures particulières exposées au point 3 du Chapitre V.</w:t>
            </w:r>
          </w:p>
        </w:tc>
        <w:tc>
          <w:tcPr>
            <w:tcW w:w="2404" w:type="dxa"/>
          </w:tcPr>
          <w:p>
            <w:r>
              <w:t>Le pouvoir organisateur</w:t>
            </w:r>
          </w:p>
        </w:tc>
      </w:tr>
    </w:tbl>
    <w:p/>
    <w:p>
      <w:r>
        <w:br w:type="page"/>
      </w:r>
    </w:p>
    <w:p>
      <w:pPr>
        <w:pStyle w:val="Titre1"/>
      </w:pPr>
      <w:bookmarkStart w:id="75" w:name="_Toc515540787"/>
      <w:r>
        <w:lastRenderedPageBreak/>
        <w:t>ANNEXE 2 – CONTACTS UTILES</w:t>
      </w:r>
      <w:bookmarkEnd w:id="75"/>
    </w:p>
    <w:p>
      <w:pPr>
        <w:ind w:left="720"/>
        <w:contextualSpacing/>
        <w:outlineLvl w:val="1"/>
        <w:rPr>
          <w:b/>
          <w:sz w:val="28"/>
          <w:szCs w:val="24"/>
        </w:rPr>
      </w:pPr>
      <w:bookmarkStart w:id="76" w:name="_Toc513556443"/>
    </w:p>
    <w:p>
      <w:pPr>
        <w:numPr>
          <w:ilvl w:val="0"/>
          <w:numId w:val="2"/>
        </w:numPr>
        <w:contextualSpacing/>
        <w:outlineLvl w:val="1"/>
        <w:rPr>
          <w:b/>
          <w:sz w:val="28"/>
          <w:szCs w:val="24"/>
        </w:rPr>
      </w:pPr>
      <w:bookmarkStart w:id="77" w:name="_Toc515540788"/>
      <w:r>
        <w:rPr>
          <w:b/>
          <w:sz w:val="28"/>
          <w:szCs w:val="24"/>
        </w:rPr>
        <w:t>Service ACS-APE-PTP</w:t>
      </w:r>
      <w:bookmarkEnd w:id="76"/>
      <w:r>
        <w:rPr>
          <w:b/>
          <w:sz w:val="28"/>
          <w:szCs w:val="24"/>
        </w:rPr>
        <w:t xml:space="preserve"> (AGE – SGCCRS)</w:t>
      </w:r>
      <w:bookmarkEnd w:id="77"/>
    </w:p>
    <w:p/>
    <w:p>
      <w:pPr>
        <w:spacing w:after="0" w:line="240" w:lineRule="auto"/>
        <w:jc w:val="center"/>
      </w:pPr>
      <w:r>
        <w:t>Administration générale de l'Enseignement</w:t>
      </w:r>
    </w:p>
    <w:p>
      <w:pPr>
        <w:spacing w:after="0" w:line="240" w:lineRule="auto"/>
        <w:jc w:val="center"/>
      </w:pPr>
      <w:r>
        <w:t>Boulevard Léopold II, 44</w:t>
      </w:r>
    </w:p>
    <w:p>
      <w:pPr>
        <w:spacing w:after="0" w:line="240" w:lineRule="auto"/>
        <w:jc w:val="center"/>
      </w:pPr>
      <w:r>
        <w:t>1080 Bruxelles</w:t>
      </w:r>
    </w:p>
    <w:p>
      <w:pPr>
        <w:spacing w:after="0" w:line="240" w:lineRule="auto"/>
      </w:pPr>
    </w:p>
    <w:p>
      <w:pPr>
        <w:spacing w:after="0" w:line="240" w:lineRule="auto"/>
        <w:rPr>
          <w:rFonts w:eastAsia="Times New Roman"/>
          <w:color w:val="000000"/>
          <w:lang w:eastAsia="fr-BE"/>
        </w:rPr>
      </w:pPr>
      <w:r>
        <w:rPr>
          <w:rFonts w:eastAsia="Times New Roman"/>
          <w:b/>
          <w:color w:val="000000"/>
          <w:lang w:eastAsia="fr-BE"/>
        </w:rPr>
        <w:t>Téléphone :</w:t>
      </w:r>
      <w:r>
        <w:rPr>
          <w:rFonts w:eastAsia="Times New Roman"/>
          <w:color w:val="000000"/>
          <w:lang w:eastAsia="fr-BE"/>
        </w:rPr>
        <w:t xml:space="preserve"> 02/413.25.71</w:t>
      </w:r>
    </w:p>
    <w:p>
      <w:pPr>
        <w:spacing w:after="0" w:line="240" w:lineRule="auto"/>
        <w:rPr>
          <w:rFonts w:eastAsia="Times New Roman"/>
          <w:b/>
          <w:color w:val="000000"/>
          <w:lang w:eastAsia="fr-BE"/>
        </w:rPr>
      </w:pPr>
      <w:r>
        <w:rPr>
          <w:rFonts w:eastAsia="Times New Roman"/>
          <w:color w:val="000000"/>
          <w:lang w:eastAsia="fr-BE"/>
        </w:rPr>
        <w:br/>
      </w:r>
      <w:r>
        <w:rPr>
          <w:rFonts w:eastAsia="Times New Roman"/>
          <w:b/>
          <w:color w:val="000000"/>
          <w:lang w:eastAsia="fr-BE"/>
        </w:rPr>
        <w:t xml:space="preserve">Responsable : </w:t>
      </w:r>
    </w:p>
    <w:p>
      <w:pPr>
        <w:spacing w:after="0" w:line="240" w:lineRule="auto"/>
        <w:rPr>
          <w:rFonts w:eastAsia="Times New Roman"/>
          <w:color w:val="000000"/>
          <w:lang w:eastAsia="fr-BE"/>
        </w:rPr>
      </w:pPr>
      <w:r>
        <w:rPr>
          <w:rFonts w:eastAsia="Times New Roman"/>
          <w:color w:val="000000"/>
          <w:lang w:eastAsia="fr-BE"/>
        </w:rPr>
        <w:t>Bernard VERKERCKE, Attaché principal</w:t>
      </w:r>
    </w:p>
    <w:p>
      <w:pPr>
        <w:spacing w:after="0" w:line="240" w:lineRule="auto"/>
        <w:rPr>
          <w:rFonts w:eastAsia="Times New Roman"/>
          <w:color w:val="000000"/>
          <w:lang w:eastAsia="fr-BE"/>
        </w:rPr>
      </w:pPr>
      <w:r>
        <w:rPr>
          <w:rFonts w:eastAsia="Times New Roman"/>
          <w:color w:val="000000"/>
          <w:lang w:eastAsia="fr-BE"/>
        </w:rPr>
        <w:t>Téléphone : 02/413.25.71</w:t>
      </w:r>
    </w:p>
    <w:p>
      <w:pPr>
        <w:spacing w:after="0" w:line="240" w:lineRule="auto"/>
        <w:rPr>
          <w:rFonts w:eastAsia="Times New Roman"/>
          <w:color w:val="000000"/>
          <w:lang w:eastAsia="fr-BE"/>
        </w:rPr>
      </w:pPr>
      <w:r>
        <w:rPr>
          <w:rFonts w:eastAsia="Times New Roman"/>
          <w:color w:val="000000"/>
          <w:lang w:eastAsia="fr-BE"/>
        </w:rPr>
        <w:t xml:space="preserve">Courriel : </w:t>
      </w:r>
      <w:hyperlink r:id="rId14" w:history="1">
        <w:r>
          <w:rPr>
            <w:rFonts w:eastAsia="Times New Roman"/>
            <w:color w:val="0563C1" w:themeColor="hyperlink"/>
            <w:u w:val="single"/>
            <w:bdr w:val="none" w:sz="0" w:space="0" w:color="auto" w:frame="1"/>
            <w:lang w:eastAsia="fr-BE"/>
          </w:rPr>
          <w:t>bernard.verkercke@cfwb.be</w:t>
        </w:r>
      </w:hyperlink>
    </w:p>
    <w:p/>
    <w:p/>
    <w:p>
      <w:pPr>
        <w:numPr>
          <w:ilvl w:val="0"/>
          <w:numId w:val="2"/>
        </w:numPr>
        <w:contextualSpacing/>
        <w:outlineLvl w:val="1"/>
        <w:rPr>
          <w:b/>
          <w:sz w:val="28"/>
          <w:szCs w:val="24"/>
        </w:rPr>
      </w:pPr>
      <w:bookmarkStart w:id="78" w:name="_Toc513556444"/>
      <w:bookmarkStart w:id="79" w:name="_Toc515540789"/>
      <w:r>
        <w:rPr>
          <w:b/>
          <w:sz w:val="28"/>
          <w:szCs w:val="24"/>
        </w:rPr>
        <w:t xml:space="preserve">Directions déconcentrées </w:t>
      </w:r>
      <w:bookmarkEnd w:id="78"/>
      <w:r>
        <w:rPr>
          <w:b/>
          <w:sz w:val="28"/>
          <w:szCs w:val="24"/>
        </w:rPr>
        <w:t>(AGE – DGPES – SGGPES)</w:t>
      </w:r>
      <w:bookmarkEnd w:id="79"/>
    </w:p>
    <w:p>
      <w:pPr>
        <w:ind w:left="720"/>
        <w:contextualSpacing/>
        <w:outlineLvl w:val="1"/>
        <w:rPr>
          <w:b/>
          <w:sz w:val="28"/>
          <w:szCs w:val="24"/>
        </w:rPr>
      </w:pPr>
    </w:p>
    <w:p>
      <w:pPr>
        <w:ind w:left="720"/>
        <w:contextualSpacing/>
        <w:rPr>
          <w:b/>
          <w:sz w:val="24"/>
        </w:rPr>
      </w:pPr>
    </w:p>
    <w:p>
      <w:pPr>
        <w:numPr>
          <w:ilvl w:val="0"/>
          <w:numId w:val="33"/>
        </w:numPr>
        <w:contextualSpacing/>
        <w:rPr>
          <w:b/>
          <w:sz w:val="26"/>
          <w:szCs w:val="26"/>
        </w:rPr>
      </w:pPr>
      <w:r>
        <w:rPr>
          <w:b/>
          <w:sz w:val="26"/>
          <w:szCs w:val="26"/>
        </w:rPr>
        <w:t xml:space="preserve">Région de Bruxelles-Capitale </w:t>
      </w:r>
    </w:p>
    <w:p>
      <w:pPr>
        <w:ind w:left="720"/>
        <w:contextualSpacing/>
        <w:rPr>
          <w:b/>
          <w:sz w:val="24"/>
        </w:rPr>
      </w:pPr>
    </w:p>
    <w:p>
      <w:pPr>
        <w:spacing w:after="0" w:line="240" w:lineRule="auto"/>
        <w:jc w:val="center"/>
      </w:pPr>
      <w:r>
        <w:t xml:space="preserve">Ministère de la Fédération Wallonie-Bruxelles A.G.E. - D.G.P.E.S. </w:t>
      </w:r>
    </w:p>
    <w:p>
      <w:pPr>
        <w:spacing w:after="0" w:line="240" w:lineRule="auto"/>
        <w:jc w:val="center"/>
      </w:pPr>
      <w:r>
        <w:t>Enseignement maternel et primaire ordinaire et spécialisé</w:t>
      </w:r>
    </w:p>
    <w:p>
      <w:pPr>
        <w:spacing w:after="0" w:line="240" w:lineRule="auto"/>
        <w:jc w:val="center"/>
      </w:pPr>
      <w:r>
        <w:t xml:space="preserve">Rue du </w:t>
      </w:r>
      <w:proofErr w:type="spellStart"/>
      <w:r>
        <w:t>Meiboom</w:t>
      </w:r>
      <w:proofErr w:type="spellEnd"/>
      <w:r>
        <w:t>, 16-18</w:t>
      </w:r>
    </w:p>
    <w:p>
      <w:pPr>
        <w:spacing w:after="0" w:line="240" w:lineRule="auto"/>
        <w:jc w:val="center"/>
      </w:pPr>
      <w:r>
        <w:t>1000   -   BRUXELLES</w:t>
      </w:r>
    </w:p>
    <w:p>
      <w:pPr>
        <w:spacing w:after="0" w:line="240" w:lineRule="auto"/>
      </w:pPr>
    </w:p>
    <w:p>
      <w:pPr>
        <w:spacing w:after="0" w:line="240" w:lineRule="auto"/>
      </w:pPr>
      <w:r>
        <w:rPr>
          <w:b/>
        </w:rPr>
        <w:t>Téléphone:</w:t>
      </w:r>
      <w:r>
        <w:t xml:space="preserve"> 02/413.21.61 </w:t>
      </w:r>
    </w:p>
    <w:p>
      <w:pPr>
        <w:spacing w:after="0" w:line="240" w:lineRule="auto"/>
      </w:pPr>
    </w:p>
    <w:p>
      <w:pPr>
        <w:spacing w:after="0" w:line="240" w:lineRule="auto"/>
        <w:rPr>
          <w:b/>
        </w:rPr>
      </w:pPr>
      <w:r>
        <w:rPr>
          <w:b/>
        </w:rPr>
        <w:t xml:space="preserve">Responsables : </w:t>
      </w:r>
    </w:p>
    <w:p>
      <w:pPr>
        <w:spacing w:after="0" w:line="240" w:lineRule="auto"/>
      </w:pPr>
      <w:r>
        <w:t xml:space="preserve">Madame Martine POISSEROUX, Directrice  </w:t>
      </w:r>
    </w:p>
    <w:p>
      <w:pPr>
        <w:spacing w:after="0" w:line="240" w:lineRule="auto"/>
      </w:pPr>
      <w:r>
        <w:t xml:space="preserve">Téléphone : 02/413.34.71       </w:t>
      </w:r>
    </w:p>
    <w:p>
      <w:pPr>
        <w:spacing w:after="0" w:line="240" w:lineRule="auto"/>
      </w:pPr>
      <w:r>
        <w:t xml:space="preserve">Fax : 02/413.29.94      </w:t>
      </w:r>
    </w:p>
    <w:p>
      <w:pPr>
        <w:spacing w:after="0" w:line="240" w:lineRule="auto"/>
      </w:pPr>
      <w:r>
        <w:t xml:space="preserve">Courriel : </w:t>
      </w:r>
      <w:hyperlink r:id="rId15" w:history="1">
        <w:r>
          <w:rPr>
            <w:color w:val="0563C1" w:themeColor="hyperlink"/>
            <w:u w:val="single"/>
          </w:rPr>
          <w:t>martine.poisseroux@cfwb.be</w:t>
        </w:r>
      </w:hyperlink>
    </w:p>
    <w:p>
      <w:pPr>
        <w:spacing w:after="0" w:line="240" w:lineRule="auto"/>
      </w:pPr>
      <w:r>
        <w:t xml:space="preserve"> </w:t>
      </w:r>
    </w:p>
    <w:p>
      <w:pPr>
        <w:spacing w:after="0" w:line="240" w:lineRule="auto"/>
      </w:pPr>
      <w:r>
        <w:t xml:space="preserve">Monsieur Yvon BEUGNIES, Attaché </w:t>
      </w:r>
      <w:proofErr w:type="spellStart"/>
      <w:r>
        <w:t>f.f</w:t>
      </w:r>
      <w:proofErr w:type="spellEnd"/>
      <w:r>
        <w:t xml:space="preserve">.,        </w:t>
      </w:r>
    </w:p>
    <w:p>
      <w:pPr>
        <w:spacing w:after="0" w:line="240" w:lineRule="auto"/>
      </w:pPr>
      <w:r>
        <w:t xml:space="preserve">Téléphone : 02/413.38.89       </w:t>
      </w:r>
    </w:p>
    <w:p>
      <w:pPr>
        <w:spacing w:after="0" w:line="240" w:lineRule="auto"/>
      </w:pPr>
      <w:r>
        <w:t xml:space="preserve">Fax : 02/413.39.14       </w:t>
      </w:r>
    </w:p>
    <w:p>
      <w:pPr>
        <w:spacing w:after="0" w:line="240" w:lineRule="auto"/>
      </w:pPr>
      <w:r>
        <w:t xml:space="preserve">Courriel : </w:t>
      </w:r>
      <w:hyperlink r:id="rId16" w:history="1">
        <w:r>
          <w:rPr>
            <w:color w:val="0563C1" w:themeColor="hyperlink"/>
            <w:u w:val="single"/>
          </w:rPr>
          <w:t>yvon.beugnies@cfwb.be</w:t>
        </w:r>
      </w:hyperlink>
      <w:r>
        <w:t xml:space="preserve">   </w:t>
      </w:r>
    </w:p>
    <w:p>
      <w:pPr>
        <w:spacing w:after="0" w:line="240" w:lineRule="auto"/>
      </w:pPr>
    </w:p>
    <w:p>
      <w:pPr>
        <w:spacing w:after="0" w:line="240" w:lineRule="auto"/>
      </w:pPr>
      <w:r>
        <w:t xml:space="preserve">Madame Martine VAN DEN BUSSCHE, 1ère Assistante pour les nominations / engagements à titre définitifs pour les fonctions de promotion        </w:t>
      </w:r>
    </w:p>
    <w:p>
      <w:pPr>
        <w:spacing w:after="0" w:line="240" w:lineRule="auto"/>
      </w:pPr>
      <w:r>
        <w:t xml:space="preserve">Téléphone : 02/413.39.51         </w:t>
      </w:r>
    </w:p>
    <w:p>
      <w:pPr>
        <w:spacing w:after="0" w:line="240" w:lineRule="auto"/>
      </w:pPr>
      <w:r>
        <w:t xml:space="preserve">Fax : 02/413.39.14      </w:t>
      </w:r>
    </w:p>
    <w:p>
      <w:pPr>
        <w:spacing w:after="0" w:line="240" w:lineRule="auto"/>
      </w:pPr>
      <w:r>
        <w:t xml:space="preserve">Courriel : </w:t>
      </w:r>
      <w:hyperlink r:id="rId17" w:history="1">
        <w:r>
          <w:rPr>
            <w:color w:val="0563C1" w:themeColor="hyperlink"/>
            <w:u w:val="single"/>
          </w:rPr>
          <w:t>martine.vandenbussche@cfwb.be</w:t>
        </w:r>
      </w:hyperlink>
      <w:r>
        <w:t xml:space="preserve"> </w:t>
      </w:r>
    </w:p>
    <w:p/>
    <w:p>
      <w:pPr>
        <w:numPr>
          <w:ilvl w:val="0"/>
          <w:numId w:val="33"/>
        </w:numPr>
        <w:contextualSpacing/>
        <w:rPr>
          <w:b/>
          <w:sz w:val="26"/>
          <w:szCs w:val="26"/>
        </w:rPr>
      </w:pPr>
      <w:r>
        <w:rPr>
          <w:b/>
          <w:sz w:val="26"/>
          <w:szCs w:val="26"/>
        </w:rPr>
        <w:lastRenderedPageBreak/>
        <w:t xml:space="preserve">Province du Brabant wallon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 xml:space="preserve">Enseignement maternel et primaire ordinaire et spécialisé  </w:t>
      </w:r>
    </w:p>
    <w:p>
      <w:pPr>
        <w:spacing w:after="0" w:line="240" w:lineRule="auto"/>
        <w:jc w:val="center"/>
      </w:pPr>
      <w:r>
        <w:t>Rue Emile Vandervelde, 3</w:t>
      </w:r>
    </w:p>
    <w:p>
      <w:pPr>
        <w:spacing w:after="0" w:line="240" w:lineRule="auto"/>
        <w:jc w:val="center"/>
      </w:pPr>
      <w:r>
        <w:t>1400   -   NIVELLES</w:t>
      </w:r>
    </w:p>
    <w:p>
      <w:pPr>
        <w:spacing w:after="0" w:line="240" w:lineRule="auto"/>
        <w:jc w:val="center"/>
      </w:pPr>
    </w:p>
    <w:p>
      <w:pPr>
        <w:spacing w:after="0" w:line="240" w:lineRule="auto"/>
        <w:rPr>
          <w:b/>
        </w:rPr>
      </w:pPr>
      <w:r>
        <w:rPr>
          <w:b/>
        </w:rPr>
        <w:t xml:space="preserve">Téléphone: </w:t>
      </w:r>
      <w:r>
        <w:t>067/64.47.27</w:t>
      </w:r>
    </w:p>
    <w:p>
      <w:pPr>
        <w:spacing w:after="0" w:line="240" w:lineRule="auto"/>
      </w:pPr>
    </w:p>
    <w:p>
      <w:pPr>
        <w:spacing w:after="0" w:line="240" w:lineRule="auto"/>
        <w:rPr>
          <w:b/>
        </w:rPr>
      </w:pPr>
      <w:r>
        <w:rPr>
          <w:b/>
        </w:rPr>
        <w:t xml:space="preserve">Responsable : </w:t>
      </w:r>
    </w:p>
    <w:p>
      <w:pPr>
        <w:spacing w:after="0" w:line="240" w:lineRule="auto"/>
      </w:pPr>
      <w:r>
        <w:t xml:space="preserve">Madame Fabienne DEVLEESHOUWER, 1ère Assistante, responsable de l’enseignement fondamental    Téléphones : 067/64.47.07   </w:t>
      </w:r>
    </w:p>
    <w:p>
      <w:pPr>
        <w:spacing w:after="0" w:line="240" w:lineRule="auto"/>
      </w:pPr>
      <w:r>
        <w:t xml:space="preserve">                        067/64.47.00    </w:t>
      </w:r>
    </w:p>
    <w:p>
      <w:pPr>
        <w:spacing w:after="0" w:line="240" w:lineRule="auto"/>
      </w:pPr>
      <w:r>
        <w:t xml:space="preserve">Fax : 067/64.47.31    </w:t>
      </w:r>
    </w:p>
    <w:p>
      <w:pPr>
        <w:spacing w:after="0" w:line="240" w:lineRule="auto"/>
      </w:pPr>
      <w:r>
        <w:t xml:space="preserve">Courriel : </w:t>
      </w:r>
      <w:hyperlink r:id="rId18" w:history="1">
        <w:r>
          <w:rPr>
            <w:color w:val="0563C1" w:themeColor="hyperlink"/>
            <w:u w:val="single"/>
          </w:rPr>
          <w:t>fabienne.devleeshouwer@cfwb.be</w:t>
        </w:r>
      </w:hyperlink>
    </w:p>
    <w:p/>
    <w:p>
      <w:pPr>
        <w:numPr>
          <w:ilvl w:val="0"/>
          <w:numId w:val="33"/>
        </w:numPr>
        <w:contextualSpacing/>
        <w:rPr>
          <w:b/>
          <w:sz w:val="26"/>
          <w:szCs w:val="26"/>
        </w:rPr>
      </w:pPr>
      <w:r>
        <w:rPr>
          <w:b/>
          <w:sz w:val="26"/>
          <w:szCs w:val="26"/>
        </w:rPr>
        <w:t xml:space="preserve">Province du Hainaut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Rue du Chemin de Fer, 433</w:t>
      </w:r>
    </w:p>
    <w:p>
      <w:pPr>
        <w:spacing w:after="0" w:line="240" w:lineRule="auto"/>
        <w:jc w:val="center"/>
      </w:pPr>
      <w:r>
        <w:t>7000   -   MONS</w:t>
      </w:r>
    </w:p>
    <w:p>
      <w:pPr>
        <w:spacing w:after="0" w:line="240" w:lineRule="auto"/>
      </w:pPr>
    </w:p>
    <w:p>
      <w:pPr>
        <w:spacing w:after="0" w:line="240" w:lineRule="auto"/>
      </w:pPr>
      <w:r>
        <w:rPr>
          <w:b/>
        </w:rPr>
        <w:t>Téléphone</w:t>
      </w:r>
      <w:r>
        <w:t xml:space="preserve"> : 065/55.55.55 </w:t>
      </w:r>
    </w:p>
    <w:p>
      <w:pPr>
        <w:spacing w:after="0" w:line="240" w:lineRule="auto"/>
      </w:pPr>
    </w:p>
    <w:p>
      <w:pPr>
        <w:spacing w:after="0" w:line="240" w:lineRule="auto"/>
        <w:rPr>
          <w:b/>
        </w:rPr>
      </w:pPr>
      <w:r>
        <w:rPr>
          <w:b/>
        </w:rPr>
        <w:t xml:space="preserve">Responsables : </w:t>
      </w:r>
    </w:p>
    <w:p>
      <w:pPr>
        <w:spacing w:after="0" w:line="240" w:lineRule="auto"/>
      </w:pPr>
      <w:r>
        <w:t xml:space="preserve">Monsieur Philippe TRUYE, Directeur        </w:t>
      </w:r>
    </w:p>
    <w:p>
      <w:pPr>
        <w:spacing w:after="0" w:line="240" w:lineRule="auto"/>
      </w:pPr>
      <w:r>
        <w:t xml:space="preserve">Téléphone : 065/55.56.00     </w:t>
      </w:r>
    </w:p>
    <w:p>
      <w:pPr>
        <w:spacing w:after="0" w:line="240" w:lineRule="auto"/>
      </w:pPr>
      <w:r>
        <w:t xml:space="preserve">Fax : 065/33.96.99     </w:t>
      </w:r>
    </w:p>
    <w:p>
      <w:pPr>
        <w:spacing w:after="0" w:line="240" w:lineRule="auto"/>
      </w:pPr>
      <w:r>
        <w:t xml:space="preserve">Courriel : </w:t>
      </w:r>
      <w:hyperlink r:id="rId19" w:history="1">
        <w:r>
          <w:rPr>
            <w:color w:val="0563C1" w:themeColor="hyperlink"/>
            <w:u w:val="single"/>
          </w:rPr>
          <w:t>philippe.truye@cfwb.be</w:t>
        </w:r>
      </w:hyperlink>
      <w:r>
        <w:t xml:space="preserve">   </w:t>
      </w:r>
    </w:p>
    <w:p>
      <w:pPr>
        <w:spacing w:after="0" w:line="240" w:lineRule="auto"/>
      </w:pPr>
    </w:p>
    <w:p>
      <w:pPr>
        <w:spacing w:after="0" w:line="240" w:lineRule="auto"/>
      </w:pPr>
      <w:r>
        <w:t xml:space="preserve">Madame Anne DUBOIS, Attachée, responsable de l’enseignement fondamental ordinaire       </w:t>
      </w:r>
    </w:p>
    <w:p>
      <w:pPr>
        <w:spacing w:after="0" w:line="240" w:lineRule="auto"/>
      </w:pPr>
      <w:r>
        <w:t xml:space="preserve">Téléphone : 065/55.56.68     </w:t>
      </w:r>
    </w:p>
    <w:p>
      <w:pPr>
        <w:spacing w:after="0" w:line="240" w:lineRule="auto"/>
      </w:pPr>
      <w:r>
        <w:t xml:space="preserve">Fax : 065/35.24.54     </w:t>
      </w:r>
    </w:p>
    <w:p>
      <w:pPr>
        <w:spacing w:after="0" w:line="240" w:lineRule="auto"/>
      </w:pPr>
      <w:r>
        <w:t xml:space="preserve">Courriel : </w:t>
      </w:r>
      <w:hyperlink r:id="rId20" w:history="1">
        <w:r>
          <w:rPr>
            <w:color w:val="0563C1" w:themeColor="hyperlink"/>
            <w:u w:val="single"/>
          </w:rPr>
          <w:t>anne.dubois@cfwb.be</w:t>
        </w:r>
      </w:hyperlink>
      <w:r>
        <w:t xml:space="preserve">    </w:t>
      </w:r>
    </w:p>
    <w:p>
      <w:pPr>
        <w:spacing w:after="0" w:line="240" w:lineRule="auto"/>
      </w:pPr>
      <w:r>
        <w:t xml:space="preserve"> </w:t>
      </w:r>
    </w:p>
    <w:p>
      <w:pPr>
        <w:spacing w:after="0" w:line="240" w:lineRule="auto"/>
      </w:pPr>
    </w:p>
    <w:p>
      <w:pPr>
        <w:numPr>
          <w:ilvl w:val="0"/>
          <w:numId w:val="33"/>
        </w:numPr>
        <w:contextualSpacing/>
        <w:rPr>
          <w:b/>
          <w:sz w:val="26"/>
          <w:szCs w:val="26"/>
        </w:rPr>
      </w:pPr>
      <w:r>
        <w:rPr>
          <w:b/>
          <w:sz w:val="26"/>
          <w:szCs w:val="26"/>
        </w:rPr>
        <w:t xml:space="preserve">Province de Liège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Rue d’Ougrée,  65 4031   -   ANGLEUR</w:t>
      </w:r>
    </w:p>
    <w:p>
      <w:pPr>
        <w:spacing w:after="0" w:line="240" w:lineRule="auto"/>
      </w:pPr>
    </w:p>
    <w:p>
      <w:pPr>
        <w:spacing w:after="0" w:line="240" w:lineRule="auto"/>
      </w:pPr>
      <w:r>
        <w:rPr>
          <w:b/>
        </w:rPr>
        <w:t>Téléphone :</w:t>
      </w:r>
      <w:r>
        <w:t xml:space="preserve"> 04/364.13.11 </w:t>
      </w:r>
    </w:p>
    <w:p>
      <w:pPr>
        <w:spacing w:after="0" w:line="240" w:lineRule="auto"/>
      </w:pPr>
    </w:p>
    <w:p>
      <w:pPr>
        <w:spacing w:after="0" w:line="240" w:lineRule="auto"/>
      </w:pPr>
    </w:p>
    <w:p>
      <w:pPr>
        <w:spacing w:after="0" w:line="240" w:lineRule="auto"/>
        <w:rPr>
          <w:b/>
        </w:rPr>
      </w:pPr>
      <w:r>
        <w:rPr>
          <w:b/>
        </w:rPr>
        <w:t xml:space="preserve">Responsables : </w:t>
      </w:r>
    </w:p>
    <w:p>
      <w:pPr>
        <w:spacing w:after="0" w:line="240" w:lineRule="auto"/>
      </w:pPr>
      <w:r>
        <w:t xml:space="preserve">Madame Viviane LAMBERTS, Directrice      </w:t>
      </w:r>
    </w:p>
    <w:p>
      <w:pPr>
        <w:spacing w:after="0" w:line="240" w:lineRule="auto"/>
      </w:pPr>
      <w:r>
        <w:t xml:space="preserve">Téléphone : 04/364.13.26     </w:t>
      </w:r>
    </w:p>
    <w:p>
      <w:pPr>
        <w:spacing w:after="0" w:line="240" w:lineRule="auto"/>
      </w:pPr>
      <w:r>
        <w:lastRenderedPageBreak/>
        <w:t xml:space="preserve">Fax : 04/364.13.02      </w:t>
      </w:r>
    </w:p>
    <w:p>
      <w:pPr>
        <w:spacing w:after="0" w:line="240" w:lineRule="auto"/>
      </w:pPr>
      <w:r>
        <w:t xml:space="preserve">Courriel : </w:t>
      </w:r>
      <w:hyperlink r:id="rId21" w:history="1">
        <w:r>
          <w:rPr>
            <w:rStyle w:val="Lienhypertexte"/>
          </w:rPr>
          <w:t>viviane.lamberts@cfwb.be</w:t>
        </w:r>
      </w:hyperlink>
      <w:r>
        <w:t xml:space="preserve">   </w:t>
      </w:r>
    </w:p>
    <w:p>
      <w:pPr>
        <w:spacing w:after="0" w:line="240" w:lineRule="auto"/>
      </w:pPr>
    </w:p>
    <w:p>
      <w:pPr>
        <w:spacing w:after="0" w:line="240" w:lineRule="auto"/>
      </w:pPr>
      <w:r>
        <w:t xml:space="preserve">Madame Nathalie TODDE, Attachée,      </w:t>
      </w:r>
    </w:p>
    <w:p>
      <w:pPr>
        <w:spacing w:after="0" w:line="240" w:lineRule="auto"/>
      </w:pPr>
      <w:r>
        <w:t xml:space="preserve">Téléphone : 04/364.13.95     </w:t>
      </w:r>
    </w:p>
    <w:p>
      <w:pPr>
        <w:spacing w:after="0" w:line="240" w:lineRule="auto"/>
      </w:pPr>
      <w:r>
        <w:t xml:space="preserve">Fax : 04/364.13.4     </w:t>
      </w:r>
    </w:p>
    <w:p>
      <w:pPr>
        <w:spacing w:after="0" w:line="240" w:lineRule="auto"/>
      </w:pPr>
      <w:r>
        <w:t xml:space="preserve">Courriel : </w:t>
      </w:r>
      <w:hyperlink r:id="rId22" w:history="1">
        <w:r>
          <w:rPr>
            <w:rStyle w:val="Lienhypertexte"/>
          </w:rPr>
          <w:t>nathalie.todde@cfwb.be</w:t>
        </w:r>
      </w:hyperlink>
      <w:r>
        <w:t xml:space="preserve">   </w:t>
      </w:r>
    </w:p>
    <w:p/>
    <w:p>
      <w:pPr>
        <w:numPr>
          <w:ilvl w:val="0"/>
          <w:numId w:val="33"/>
        </w:numPr>
        <w:contextualSpacing/>
        <w:rPr>
          <w:b/>
          <w:sz w:val="26"/>
          <w:szCs w:val="26"/>
        </w:rPr>
      </w:pPr>
      <w:r>
        <w:rPr>
          <w:b/>
          <w:sz w:val="26"/>
          <w:szCs w:val="26"/>
        </w:rPr>
        <w:t>Province de Namur et du Luxembourg</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 xml:space="preserve">Avenue Gouverneur </w:t>
      </w:r>
      <w:proofErr w:type="spellStart"/>
      <w:r>
        <w:t>Bovesse</w:t>
      </w:r>
      <w:proofErr w:type="spellEnd"/>
      <w:r>
        <w:t>, 41</w:t>
      </w:r>
    </w:p>
    <w:p>
      <w:pPr>
        <w:spacing w:after="0" w:line="240" w:lineRule="auto"/>
        <w:jc w:val="center"/>
      </w:pPr>
      <w:r>
        <w:t>5100   -   JAMBES</w:t>
      </w:r>
    </w:p>
    <w:p>
      <w:pPr>
        <w:spacing w:after="0" w:line="240" w:lineRule="auto"/>
      </w:pPr>
    </w:p>
    <w:p>
      <w:pPr>
        <w:spacing w:after="0" w:line="240" w:lineRule="auto"/>
      </w:pPr>
      <w:r>
        <w:rPr>
          <w:b/>
        </w:rPr>
        <w:t xml:space="preserve">Téléphone </w:t>
      </w:r>
      <w:r>
        <w:t>: 081/82.49.00</w:t>
      </w:r>
    </w:p>
    <w:p>
      <w:pPr>
        <w:spacing w:after="0" w:line="240" w:lineRule="auto"/>
      </w:pPr>
    </w:p>
    <w:p>
      <w:pPr>
        <w:spacing w:after="0" w:line="240" w:lineRule="auto"/>
        <w:rPr>
          <w:b/>
        </w:rPr>
      </w:pPr>
      <w:r>
        <w:rPr>
          <w:b/>
        </w:rPr>
        <w:t xml:space="preserve">Responsables : </w:t>
      </w:r>
    </w:p>
    <w:p>
      <w:pPr>
        <w:spacing w:after="0" w:line="240" w:lineRule="auto"/>
      </w:pPr>
      <w:r>
        <w:t xml:space="preserve">Madame Annabelle PETIT, Directrice </w:t>
      </w:r>
    </w:p>
    <w:p>
      <w:pPr>
        <w:spacing w:after="0" w:line="240" w:lineRule="auto"/>
      </w:pPr>
      <w:r>
        <w:t xml:space="preserve">Téléphone : 081/82.50.85 </w:t>
      </w:r>
    </w:p>
    <w:p>
      <w:pPr>
        <w:spacing w:after="0" w:line="240" w:lineRule="auto"/>
      </w:pPr>
      <w:r>
        <w:t xml:space="preserve">Courriel : </w:t>
      </w:r>
      <w:hyperlink r:id="rId23" w:history="1">
        <w:r>
          <w:rPr>
            <w:color w:val="0563C1" w:themeColor="hyperlink"/>
            <w:u w:val="single"/>
          </w:rPr>
          <w:t>annabelle.petit@cfwb.be</w:t>
        </w:r>
      </w:hyperlink>
    </w:p>
    <w:p>
      <w:pPr>
        <w:spacing w:after="0" w:line="240" w:lineRule="auto"/>
      </w:pPr>
      <w:r>
        <w:t xml:space="preserve"> </w:t>
      </w:r>
    </w:p>
    <w:p>
      <w:pPr>
        <w:spacing w:after="0" w:line="240" w:lineRule="auto"/>
      </w:pPr>
      <w:r>
        <w:t xml:space="preserve">Madame Catherine BLAVIER,  1ère assistante, responsable  de  l’enseignement  fondamental ordinaire     </w:t>
      </w:r>
    </w:p>
    <w:p>
      <w:pPr>
        <w:spacing w:after="0" w:line="240" w:lineRule="auto"/>
      </w:pPr>
      <w:r>
        <w:t xml:space="preserve">Téléphone : 081/82.49.20     </w:t>
      </w:r>
    </w:p>
    <w:p>
      <w:pPr>
        <w:spacing w:after="0" w:line="240" w:lineRule="auto"/>
      </w:pPr>
      <w:r>
        <w:t xml:space="preserve">Fax : 081/30.29.62     </w:t>
      </w:r>
    </w:p>
    <w:p>
      <w:pPr>
        <w:spacing w:after="0" w:line="240" w:lineRule="auto"/>
      </w:pPr>
      <w:r>
        <w:t xml:space="preserve">Courriel : </w:t>
      </w:r>
      <w:hyperlink r:id="rId24" w:history="1">
        <w:r>
          <w:rPr>
            <w:color w:val="0563C1" w:themeColor="hyperlink"/>
            <w:u w:val="single"/>
          </w:rPr>
          <w:t>catherine.blavier@cfwb.be</w:t>
        </w:r>
      </w:hyperlink>
      <w:r>
        <w:t xml:space="preserve">   </w:t>
      </w:r>
    </w:p>
    <w:p/>
    <w:p/>
    <w:p>
      <w:r>
        <w:t xml:space="preserve"> </w:t>
      </w:r>
    </w:p>
    <w:p/>
    <w:p>
      <w:r>
        <w:br w:type="page"/>
      </w:r>
    </w:p>
    <w:p>
      <w:pPr>
        <w:pStyle w:val="Titre1"/>
        <w:pBdr>
          <w:top w:val="single" w:sz="4" w:space="0" w:color="auto"/>
        </w:pBdr>
      </w:pPr>
      <w:bookmarkStart w:id="80" w:name="_Toc515014122"/>
      <w:bookmarkStart w:id="81" w:name="_Toc515540790"/>
      <w:r>
        <w:lastRenderedPageBreak/>
        <w:t>ANNEXE 3 –</w:t>
      </w:r>
      <w:bookmarkEnd w:id="80"/>
      <w:r>
        <w:t xml:space="preserve"> CANDIDATURE DES MAITRES DE PSYCHOMOTRICITÉ ACS/APE</w:t>
      </w:r>
      <w:bookmarkEnd w:id="81"/>
    </w:p>
    <w:p>
      <w:pPr>
        <w:spacing w:line="240" w:lineRule="auto"/>
        <w:jc w:val="center"/>
        <w:rPr>
          <w:sz w:val="20"/>
        </w:rPr>
      </w:pPr>
    </w:p>
    <w:p>
      <w:pPr>
        <w:spacing w:line="240" w:lineRule="auto"/>
        <w:jc w:val="center"/>
        <w:rPr>
          <w:rFonts w:ascii="Verdana" w:hAnsi="Verdana" w:cs="Calibri"/>
          <w:sz w:val="24"/>
          <w:szCs w:val="24"/>
        </w:rPr>
      </w:pPr>
      <w:r>
        <w:rPr>
          <w:rFonts w:ascii="Verdana" w:hAnsi="Verdana" w:cs="Calibri"/>
          <w:b/>
          <w:sz w:val="24"/>
          <w:szCs w:val="24"/>
        </w:rPr>
        <w:t>Volet I</w:t>
      </w:r>
      <w:r>
        <w:rPr>
          <w:rFonts w:ascii="Verdana" w:hAnsi="Verdana" w:cs="Calibri"/>
          <w:sz w:val="24"/>
          <w:szCs w:val="24"/>
        </w:rPr>
        <w:t> : Formulaire de candidature à une désignation en qualité de temporaire dans la fonction de maitre de psychomotricité pour l’année scolaire 2018-2019</w:t>
      </w:r>
    </w:p>
    <w:p>
      <w:pPr>
        <w:spacing w:line="240" w:lineRule="auto"/>
        <w:jc w:val="center"/>
        <w:rPr>
          <w:rFonts w:ascii="Verdana" w:hAnsi="Verdana" w:cs="Calibri"/>
          <w:sz w:val="24"/>
          <w:szCs w:val="24"/>
        </w:rPr>
      </w:pPr>
    </w:p>
    <w:p>
      <w:pPr>
        <w:jc w:val="both"/>
        <w:rPr>
          <w:rFonts w:ascii="Verdana" w:hAnsi="Verdana" w:cs="Calibri"/>
          <w:u w:val="single"/>
        </w:rPr>
      </w:pPr>
      <w:r>
        <w:rPr>
          <w:rFonts w:ascii="Verdana" w:hAnsi="Verdana" w:cs="Calibri"/>
          <w:b/>
        </w:rPr>
        <w:t>Les membres du personnel recrutés en qualité de maitres de psychomotricité ACS/APE</w:t>
      </w:r>
      <w:r>
        <w:rPr>
          <w:rFonts w:ascii="Verdana" w:hAnsi="Verdana" w:cs="Calibri"/>
        </w:rPr>
        <w:t xml:space="preserve"> dans l’enseignement officiel subventionné par la Communauté française envoient ce formulaire </w:t>
      </w:r>
      <w:r>
        <w:rPr>
          <w:rFonts w:ascii="Verdana" w:hAnsi="Verdana" w:cs="Calibri"/>
          <w:b/>
        </w:rPr>
        <w:t>par lettre recommandée pour le 30 juin 2018</w:t>
      </w:r>
      <w:r>
        <w:rPr>
          <w:rFonts w:ascii="Verdana" w:hAnsi="Verdana" w:cs="Calibri"/>
        </w:rPr>
        <w:t xml:space="preserve"> </w:t>
      </w:r>
      <w:r>
        <w:rPr>
          <w:rFonts w:ascii="Verdana" w:hAnsi="Verdana" w:cs="Calibri"/>
          <w:b/>
        </w:rPr>
        <w:t>au plus tard</w:t>
      </w:r>
      <w:r>
        <w:rPr>
          <w:rFonts w:ascii="Verdana" w:hAnsi="Verdana" w:cs="Calibri"/>
        </w:rPr>
        <w:t xml:space="preserve"> auprès du(des) Pouvoir(s) organisateur(s) auprès du(des)quels ils ont exercé leur fonction dans le cadre d’un emploi ACS/APE </w:t>
      </w:r>
      <w:r>
        <w:rPr>
          <w:rFonts w:ascii="Verdana" w:hAnsi="Verdana" w:cs="Calibri"/>
          <w:u w:val="single"/>
        </w:rPr>
        <w:t>et devant le(les)quel(s) ils souhaitent faire valoir leur priorité</w:t>
      </w:r>
      <w:r>
        <w:rPr>
          <w:rStyle w:val="Appelnotedebasdep"/>
          <w:rFonts w:ascii="Verdana" w:hAnsi="Verdana" w:cs="Calibri"/>
          <w:u w:val="single"/>
        </w:rPr>
        <w:footnoteReference w:id="45"/>
      </w:r>
      <w:r>
        <w:rPr>
          <w:rFonts w:ascii="Verdana" w:hAnsi="Verdana" w:cs="Calibri"/>
          <w:u w:val="single"/>
        </w:rPr>
        <w:t>.</w:t>
      </w:r>
      <w:r>
        <w:rPr>
          <w:rFonts w:ascii="Verdana" w:hAnsi="Verdana" w:cs="Calibri"/>
        </w:rPr>
        <w:t xml:space="preserve"> </w:t>
      </w:r>
    </w:p>
    <w:p>
      <w:pPr>
        <w:spacing w:after="0" w:line="240" w:lineRule="auto"/>
        <w:jc w:val="both"/>
        <w:rPr>
          <w:rFonts w:ascii="Verdana" w:hAnsi="Verdana" w:cs="Arial"/>
          <w:b/>
          <w:sz w:val="21"/>
          <w:szCs w:val="21"/>
        </w:rPr>
      </w:pPr>
    </w:p>
    <w:p>
      <w:pPr>
        <w:spacing w:after="0" w:line="240" w:lineRule="auto"/>
        <w:ind w:left="-142"/>
        <w:jc w:val="both"/>
        <w:rPr>
          <w:rFonts w:ascii="Verdana" w:hAnsi="Verdana" w:cs="Arial"/>
          <w:smallCaps/>
          <w:sz w:val="21"/>
          <w:szCs w:val="21"/>
        </w:rPr>
      </w:pPr>
      <w:r>
        <w:rPr>
          <w:rFonts w:ascii="Verdana" w:hAnsi="Verdana" w:cs="Arial"/>
          <w:b/>
          <w:smallCaps/>
          <w:sz w:val="21"/>
          <w:szCs w:val="21"/>
        </w:rPr>
        <w:t>Vos données d’identification</w:t>
      </w:r>
      <w:r>
        <w:rPr>
          <w:rFonts w:ascii="Verdana" w:hAnsi="Verdana" w:cs="Arial"/>
          <w:smallCaps/>
          <w:sz w:val="21"/>
          <w:szCs w:val="21"/>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4"/>
        <w:gridCol w:w="4844"/>
      </w:tblGrid>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N° Matricule</w:t>
            </w:r>
          </w:p>
        </w:tc>
        <w:tc>
          <w:tcPr>
            <w:tcW w:w="5387"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19"/>
              <w:gridCol w:w="419"/>
              <w:gridCol w:w="420"/>
              <w:gridCol w:w="420"/>
              <w:gridCol w:w="420"/>
              <w:gridCol w:w="420"/>
              <w:gridCol w:w="420"/>
              <w:gridCol w:w="420"/>
              <w:gridCol w:w="420"/>
              <w:gridCol w:w="420"/>
            </w:tblGrid>
            <w:tr>
              <w:tc>
                <w:tcPr>
                  <w:tcW w:w="445"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bl>
          <w:p>
            <w:pPr>
              <w:spacing w:after="0" w:line="360" w:lineRule="auto"/>
              <w:jc w:val="both"/>
              <w:rPr>
                <w:rFonts w:ascii="Verdana" w:hAnsi="Verdana" w:cs="Arial"/>
                <w:sz w:val="21"/>
                <w:szCs w:val="21"/>
              </w:rPr>
            </w:pP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NOM</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Prénom</w:t>
            </w: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Date de naissance</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Sexe</w:t>
            </w: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Registre national</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 xml:space="preserve">Nationalité    </w:t>
            </w:r>
          </w:p>
        </w:tc>
      </w:tr>
      <w:tr>
        <w:tc>
          <w:tcPr>
            <w:tcW w:w="5211" w:type="dxa"/>
            <w:vMerge w:val="restart"/>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Adresse (complète)</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Mail</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Verdana" w:hAnsi="Verdana" w:cs="Arial"/>
                <w:sz w:val="21"/>
                <w:szCs w:val="21"/>
              </w:rPr>
            </w:pP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GSM</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Verdana" w:hAnsi="Verdana" w:cs="Arial"/>
                <w:sz w:val="21"/>
                <w:szCs w:val="21"/>
              </w:rPr>
            </w:pP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Téléphone</w:t>
            </w:r>
          </w:p>
        </w:tc>
      </w:tr>
    </w:tbl>
    <w:p>
      <w:pPr>
        <w:spacing w:after="0" w:line="240" w:lineRule="auto"/>
        <w:jc w:val="both"/>
        <w:rPr>
          <w:rFonts w:ascii="Verdana" w:hAnsi="Verdana" w:cs="Arial"/>
          <w:sz w:val="21"/>
          <w:szCs w:val="21"/>
        </w:rPr>
      </w:pPr>
    </w:p>
    <w:p>
      <w:pPr>
        <w:spacing w:after="0" w:line="240" w:lineRule="auto"/>
        <w:ind w:left="-142"/>
        <w:jc w:val="both"/>
        <w:rPr>
          <w:rFonts w:ascii="Verdana" w:hAnsi="Verdana" w:cs="Arial"/>
          <w:b/>
          <w:sz w:val="16"/>
          <w:szCs w:val="21"/>
        </w:rPr>
      </w:pPr>
      <w:r>
        <w:rPr>
          <w:rFonts w:ascii="Verdana" w:hAnsi="Verdana" w:cs="Arial"/>
          <w:b/>
          <w:smallCaps/>
          <w:sz w:val="21"/>
          <w:szCs w:val="21"/>
        </w:rPr>
        <w:t>Pouvoir</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 xml:space="preserve">) </w:t>
      </w:r>
      <w:r>
        <w:rPr>
          <w:rFonts w:ascii="Verdana" w:hAnsi="Verdana" w:cs="Arial"/>
          <w:b/>
          <w:smallCaps/>
          <w:sz w:val="21"/>
          <w:szCs w:val="21"/>
        </w:rPr>
        <w:t>organisateur</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w:t>
      </w:r>
      <w:r>
        <w:rPr>
          <w:rFonts w:ascii="Verdana" w:hAnsi="Verdana" w:cs="Arial"/>
          <w:b/>
          <w:smallCaps/>
          <w:sz w:val="21"/>
          <w:szCs w:val="21"/>
        </w:rPr>
        <w:t xml:space="preserve"> auprès du</w:t>
      </w:r>
      <w:r>
        <w:rPr>
          <w:rFonts w:ascii="Verdana" w:hAnsi="Verdana" w:cs="Arial"/>
          <w:b/>
          <w:smallCaps/>
          <w:sz w:val="20"/>
          <w:szCs w:val="21"/>
        </w:rPr>
        <w:t>(</w:t>
      </w:r>
      <w:r>
        <w:rPr>
          <w:rFonts w:ascii="Verdana" w:hAnsi="Verdana" w:cs="Arial"/>
          <w:b/>
          <w:smallCaps/>
          <w:sz w:val="21"/>
          <w:szCs w:val="21"/>
        </w:rPr>
        <w:t>des</w:t>
      </w:r>
      <w:r>
        <w:rPr>
          <w:rFonts w:ascii="Verdana" w:hAnsi="Verdana" w:cs="Arial"/>
          <w:b/>
          <w:smallCaps/>
          <w:sz w:val="20"/>
          <w:szCs w:val="21"/>
        </w:rPr>
        <w:t>)</w:t>
      </w:r>
      <w:r>
        <w:rPr>
          <w:rFonts w:ascii="Verdana" w:hAnsi="Verdana" w:cs="Arial"/>
          <w:b/>
          <w:smallCaps/>
          <w:sz w:val="21"/>
          <w:szCs w:val="21"/>
        </w:rPr>
        <w:t>quel</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w:t>
      </w:r>
      <w:r>
        <w:rPr>
          <w:rFonts w:ascii="Verdana" w:hAnsi="Verdana" w:cs="Arial"/>
          <w:b/>
          <w:smallCaps/>
          <w:sz w:val="21"/>
          <w:szCs w:val="21"/>
        </w:rPr>
        <w:t xml:space="preserve"> vous souhaitez introduire une candidature en vue </w:t>
      </w:r>
      <w:proofErr w:type="spellStart"/>
      <w:r>
        <w:rPr>
          <w:rFonts w:ascii="Verdana" w:hAnsi="Verdana" w:cs="Arial"/>
          <w:b/>
          <w:smallCaps/>
          <w:sz w:val="21"/>
          <w:szCs w:val="21"/>
        </w:rPr>
        <w:t>d’un</w:t>
      </w:r>
      <w:r>
        <w:rPr>
          <w:rFonts w:ascii="Verdana" w:hAnsi="Verdana" w:cs="Arial"/>
          <w:b/>
          <w:smallCaps/>
          <w:sz w:val="16"/>
          <w:szCs w:val="21"/>
        </w:rPr>
        <w:t>E</w:t>
      </w:r>
      <w:proofErr w:type="spellEnd"/>
      <w:r>
        <w:rPr>
          <w:rFonts w:ascii="Verdana" w:hAnsi="Verdana" w:cs="Arial"/>
          <w:b/>
          <w:smallCaps/>
          <w:sz w:val="16"/>
          <w:szCs w:val="21"/>
        </w:rPr>
        <w:t xml:space="preserve"> DÉSIGNATION </w:t>
      </w:r>
      <w:r>
        <w:rPr>
          <w:rFonts w:ascii="Verdana" w:hAnsi="Verdana" w:cs="Arial"/>
          <w:b/>
          <w:smallCaps/>
          <w:sz w:val="21"/>
          <w:szCs w:val="21"/>
        </w:rPr>
        <w:t xml:space="preserve">à titre temporaire et valoriser vos jours de services rendus : </w:t>
      </w:r>
    </w:p>
    <w:p>
      <w:pPr>
        <w:spacing w:after="0" w:line="240" w:lineRule="auto"/>
        <w:jc w:val="both"/>
        <w:rPr>
          <w:rFonts w:ascii="Verdana" w:hAnsi="Verdana" w:cs="Arial"/>
          <w:sz w:val="21"/>
          <w:szCs w:val="21"/>
        </w:rPr>
      </w:pPr>
    </w:p>
    <w:p>
      <w:pP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Je souhaite bénéficier de la valorisation entière de mon ancienneté acquise auprès du Pouvoir organisateur gestionnaire de mon dossier administratif</w:t>
      </w:r>
      <w:r>
        <w:rPr>
          <w:rStyle w:val="Appelnotedebasdep"/>
          <w:rFonts w:ascii="Verdana" w:hAnsi="Verdana" w:cs="Arial"/>
          <w:sz w:val="21"/>
          <w:szCs w:val="21"/>
        </w:rPr>
        <w:footnoteReference w:id="46"/>
      </w:r>
      <w:r>
        <w:rPr>
          <w:rFonts w:ascii="Verdana" w:hAnsi="Verdana" w:cs="Arial"/>
          <w:sz w:val="21"/>
          <w:szCs w:val="21"/>
        </w:rPr>
        <w:t xml:space="preserve"> </w:t>
      </w:r>
      <w:r>
        <w:rPr>
          <w:rFonts w:ascii="Verdana" w:hAnsi="Verdana" w:cs="Arial"/>
          <w:sz w:val="21"/>
          <w:szCs w:val="21"/>
          <w:u w:val="single"/>
        </w:rPr>
        <w:t>uniquement</w:t>
      </w:r>
      <w:r>
        <w:rPr>
          <w:rFonts w:ascii="Verdana" w:hAnsi="Verdana" w:cs="Arial"/>
          <w:sz w:val="21"/>
          <w:szCs w:val="21"/>
        </w:rPr>
        <w:t xml:space="preserve"> auprès de ce seul pouvoir organisateur</w:t>
      </w:r>
      <w:r>
        <w:rPr>
          <w:rStyle w:val="Appelnotedebasdep"/>
          <w:rFonts w:ascii="Verdana" w:hAnsi="Verdana" w:cs="Arial"/>
          <w:sz w:val="21"/>
          <w:szCs w:val="21"/>
        </w:rPr>
        <w:footnoteReference w:id="47"/>
      </w: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hAnsi="Verdana" w:cs="Arial"/>
          <w:b/>
          <w:sz w:val="21"/>
          <w:szCs w:val="21"/>
        </w:rPr>
      </w:pPr>
      <w:r>
        <w:rPr>
          <w:rFonts w:ascii="Verdana" w:hAnsi="Verdana" w:cs="Arial"/>
          <w:b/>
          <w:sz w:val="21"/>
          <w:szCs w:val="21"/>
        </w:rPr>
        <w:t>OUI – NON</w:t>
      </w:r>
      <w:r>
        <w:rPr>
          <w:rStyle w:val="Appelnotedebasdep"/>
          <w:rFonts w:ascii="Verdana" w:hAnsi="Verdana" w:cs="Arial"/>
          <w:b/>
          <w:sz w:val="21"/>
          <w:szCs w:val="21"/>
        </w:rPr>
        <w:footnoteReference w:id="48"/>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r>
        <w:rPr>
          <w:rFonts w:ascii="Verdana" w:hAnsi="Verdana" w:cs="Arial"/>
          <w:b/>
          <w:sz w:val="21"/>
          <w:szCs w:val="21"/>
        </w:rPr>
        <w:t xml:space="preserve">Important : </w:t>
      </w:r>
      <w:r>
        <w:t xml:space="preserve">si NON, joindre obligatoirement </w:t>
      </w:r>
      <w:r>
        <w:rPr>
          <w:b/>
        </w:rPr>
        <w:t>le volet II</w:t>
      </w:r>
      <w:r>
        <w:t xml:space="preserve"> du formulaire à l’acte de candidature. Si OUI, ne pas compléter </w:t>
      </w:r>
      <w:r>
        <w:rPr>
          <w:b/>
        </w:rPr>
        <w:t>le volet II</w:t>
      </w:r>
      <w:r>
        <w:t>.</w:t>
      </w:r>
    </w:p>
    <w:p>
      <w:pPr>
        <w:spacing w:after="0" w:line="240" w:lineRule="auto"/>
        <w:jc w:val="both"/>
        <w:rPr>
          <w:rFonts w:ascii="Verdana" w:hAnsi="Verdana" w:cs="Arial"/>
          <w:b/>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Fait le </w:t>
      </w:r>
      <w:r>
        <w:rPr>
          <w:rFonts w:ascii="Verdana" w:hAnsi="Verdana" w:cs="Arial"/>
          <w:sz w:val="21"/>
          <w:szCs w:val="21"/>
        </w:rPr>
        <w:tab/>
        <w:t>Signature du candidat</w:t>
      </w:r>
    </w:p>
    <w:p>
      <w:pPr>
        <w:rPr>
          <w:rFonts w:ascii="Verdana" w:hAnsi="Verdana" w:cs="Calibri"/>
          <w:sz w:val="24"/>
          <w:szCs w:val="24"/>
        </w:rPr>
      </w:pPr>
      <w:r>
        <w:rPr>
          <w:rFonts w:ascii="Verdana" w:hAnsi="Verdana" w:cs="Arial"/>
          <w:b/>
          <w:sz w:val="21"/>
          <w:szCs w:val="21"/>
        </w:rPr>
        <w:br w:type="page"/>
      </w:r>
      <w:r>
        <w:rPr>
          <w:rFonts w:ascii="Verdana" w:hAnsi="Verdana" w:cs="Arial"/>
          <w:b/>
          <w:sz w:val="21"/>
          <w:szCs w:val="21"/>
        </w:rPr>
        <w:lastRenderedPageBreak/>
        <w:t xml:space="preserve">VOLET II – </w:t>
      </w:r>
      <w:r>
        <w:rPr>
          <w:rFonts w:ascii="Verdana" w:hAnsi="Verdana" w:cs="Calibri"/>
          <w:sz w:val="24"/>
          <w:szCs w:val="24"/>
        </w:rPr>
        <w:t>Demande de valorisation d’ancienneté</w:t>
      </w:r>
    </w:p>
    <w:p>
      <w:pPr>
        <w:spacing w:after="0" w:line="240" w:lineRule="auto"/>
        <w:jc w:val="center"/>
        <w:rPr>
          <w:rFonts w:ascii="Verdana" w:hAnsi="Verdana" w:cs="Arial"/>
          <w:b/>
          <w:sz w:val="21"/>
          <w:szCs w:val="21"/>
        </w:rPr>
      </w:pPr>
      <w:r>
        <w:rPr>
          <w:rFonts w:ascii="Verdana" w:hAnsi="Verdana" w:cs="Calibri"/>
          <w:sz w:val="24"/>
          <w:szCs w:val="24"/>
        </w:rPr>
        <w:t xml:space="preserve">auprès de </w:t>
      </w:r>
      <w:r>
        <w:rPr>
          <w:rFonts w:ascii="Verdana" w:hAnsi="Verdana" w:cs="Calibri"/>
          <w:sz w:val="24"/>
          <w:szCs w:val="24"/>
          <w:u w:val="single"/>
        </w:rPr>
        <w:t>plusieurs</w:t>
      </w:r>
      <w:r>
        <w:rPr>
          <w:rFonts w:ascii="Verdana" w:hAnsi="Verdana" w:cs="Calibri"/>
          <w:sz w:val="24"/>
          <w:szCs w:val="24"/>
        </w:rPr>
        <w:t xml:space="preserve"> Pouvoirs organisateurs</w:t>
      </w:r>
      <w:r>
        <w:rPr>
          <w:rStyle w:val="Appelnotedebasdep"/>
          <w:rFonts w:ascii="Verdana" w:hAnsi="Verdana" w:cs="Arial"/>
          <w:b/>
          <w:sz w:val="21"/>
          <w:szCs w:val="21"/>
        </w:rPr>
        <w:footnoteReference w:id="49"/>
      </w:r>
    </w:p>
    <w:p>
      <w:pPr>
        <w:spacing w:after="0" w:line="240" w:lineRule="auto"/>
        <w:jc w:val="center"/>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 xml:space="preserve">Je souhaite valoriser mon ancienneté auprès de plusieurs Pouvoirs organisateurs auprès desquels j’ai exercé ma fonction dans le cadre d’un emploi partagé </w:t>
      </w:r>
      <w:r>
        <w:rPr>
          <w:rFonts w:ascii="Verdana" w:hAnsi="Verdana" w:cs="Arial"/>
          <w:sz w:val="21"/>
          <w:szCs w:val="21"/>
          <w:u w:val="single"/>
        </w:rPr>
        <w:t>au prorata de la charge effectivement prestée</w:t>
      </w:r>
      <w:r>
        <w:rPr>
          <w:rFonts w:ascii="Verdana" w:hAnsi="Verdana" w:cs="Arial"/>
          <w:sz w:val="21"/>
          <w:szCs w:val="21"/>
        </w:rPr>
        <w:t xml:space="preserve"> au sein des Pouvoirs organisateurs concernés.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Précisez devant quels Pouvoirs organisateurs vous souhaitez valoriser vos jours de services rendus, en indiquant, en premier lieu, le Pouvoir organisateur en charge de votre dossier administratif si vous souhaitez valoriser votre ancienneté auprès de ce dernier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Attention, vous devez envoyer ce formulaire de candidature (volets I et II) à chacun des pouvoirs organisateurs concernés.</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___________________________________________________________________</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r>
        <w:rPr>
          <w:rFonts w:ascii="Verdana" w:hAnsi="Verdana" w:cs="Arial"/>
          <w:sz w:val="21"/>
          <w:szCs w:val="21"/>
        </w:rPr>
        <w:t xml:space="preserve">J’ai exercé comme maître de psychomotricité ACS/APE à concurrence de moins d’une demi-charge auprès du Pouvoir organisateur porteur dans le cadre d’un emploi partagé : </w:t>
      </w:r>
      <w:r>
        <w:rPr>
          <w:rFonts w:ascii="Verdana" w:hAnsi="Verdana" w:cs="Arial"/>
          <w:b/>
          <w:sz w:val="21"/>
          <w:szCs w:val="21"/>
        </w:rPr>
        <w:t>OUI - NON</w:t>
      </w:r>
      <w:r>
        <w:rPr>
          <w:rStyle w:val="Appelnotedebasdep"/>
          <w:rFonts w:ascii="Verdana" w:hAnsi="Verdana" w:cs="Arial"/>
          <w:b/>
          <w:sz w:val="21"/>
          <w:szCs w:val="21"/>
        </w:rPr>
        <w:footnoteReference w:id="50"/>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Si la réponse est OUI, remplir la déclaration sur l’honneur reprise au cadre suivant.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___________________________________________________________________</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b/>
          <w:sz w:val="21"/>
          <w:szCs w:val="21"/>
        </w:rPr>
        <w:t>Déclaration sur l’honneur du membre du personnel</w:t>
      </w:r>
      <w:r>
        <w:rPr>
          <w:rStyle w:val="Appelnotedebasdep"/>
          <w:rFonts w:ascii="Verdana" w:hAnsi="Verdana" w:cs="Arial"/>
          <w:b/>
          <w:sz w:val="21"/>
          <w:szCs w:val="21"/>
        </w:rPr>
        <w:footnoteReference w:id="51"/>
      </w:r>
      <w:r>
        <w:rPr>
          <w:rFonts w:ascii="Verdana" w:hAnsi="Verdana" w:cs="Arial"/>
          <w:sz w:val="21"/>
          <w:szCs w:val="21"/>
        </w:rPr>
        <w:t xml:space="preserve"> :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i/>
          <w:sz w:val="21"/>
          <w:szCs w:val="21"/>
        </w:rPr>
      </w:pPr>
      <w:r>
        <w:rPr>
          <w:rFonts w:ascii="Verdana" w:hAnsi="Verdana" w:cs="Arial"/>
          <w:i/>
          <w:sz w:val="21"/>
          <w:szCs w:val="21"/>
        </w:rPr>
        <w:t>Par la présente, je déclare avoir informé le Pouvoir organisateur gestionnaire de mon dossier administratif et porteur de la dépêche d’attribution d’emploi de l’introduction de ma demande de valorisation d’ancienneté auprès de plusieurs Pouvoirs organisateurs et lui avoir indiqué que mon ancienneté auprès de lui devra dès lors être recalculée au prorata de ma charge effectivement prestée dans ses établissements.</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Identification du Pouvoir organisateur porteur de la dépêched’attribution:………………….……………………………………………………………………………………………………………………………………………………………………………………………………………............................</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i/>
          <w:sz w:val="21"/>
          <w:szCs w:val="21"/>
        </w:rPr>
      </w:pPr>
      <w:r>
        <w:rPr>
          <w:rFonts w:ascii="Verdana" w:hAnsi="Verdana" w:cs="Arial"/>
          <w:i/>
          <w:sz w:val="21"/>
          <w:szCs w:val="21"/>
        </w:rPr>
        <w:t>J'affirme sur l'honneur que la présente déclaration est sincère et complète. Je sais que des déclarations inexactes peuvent entraîner la nullité de ma candidature.</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 xml:space="preserve">Fait à </w:t>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t>Signature</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highlight w:val="yellow"/>
        </w:rPr>
      </w:pPr>
    </w:p>
    <w:p>
      <w:pPr>
        <w:rPr>
          <w:rFonts w:ascii="Verdana" w:hAnsi="Verdana" w:cs="Arial"/>
          <w:sz w:val="21"/>
          <w:szCs w:val="21"/>
        </w:rPr>
      </w:pPr>
      <w:r>
        <w:rPr>
          <w:rFonts w:ascii="Verdana" w:hAnsi="Verdana" w:cs="Arial"/>
          <w:sz w:val="21"/>
          <w:szCs w:val="21"/>
        </w:rPr>
        <w:br w:type="page"/>
      </w:r>
      <w:r>
        <w:rPr>
          <w:rFonts w:ascii="Verdana" w:hAnsi="Verdana" w:cs="Arial"/>
          <w:b/>
          <w:smallCaps/>
          <w:sz w:val="21"/>
          <w:szCs w:val="21"/>
        </w:rPr>
        <w:lastRenderedPageBreak/>
        <w:t>Vos états de services :</w:t>
      </w:r>
    </w:p>
    <w:p>
      <w:pPr>
        <w:spacing w:after="0" w:line="240" w:lineRule="auto"/>
        <w:ind w:left="-142"/>
        <w:jc w:val="both"/>
        <w:rPr>
          <w:rFonts w:ascii="Verdana" w:hAnsi="Verdana" w:cs="Arial"/>
          <w:sz w:val="21"/>
          <w:szCs w:val="21"/>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329"/>
        <w:gridCol w:w="1396"/>
        <w:gridCol w:w="1920"/>
        <w:gridCol w:w="1774"/>
        <w:gridCol w:w="1153"/>
      </w:tblGrid>
      <w:tr>
        <w:tc>
          <w:tcPr>
            <w:tcW w:w="1750"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Etablissement (dénomination complète)</w:t>
            </w:r>
          </w:p>
        </w:tc>
        <w:tc>
          <w:tcPr>
            <w:tcW w:w="1434"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Verdana" w:hAnsi="Verdana" w:cs="Arial"/>
                <w:sz w:val="21"/>
                <w:szCs w:val="21"/>
              </w:rPr>
            </w:pPr>
            <w:r>
              <w:rPr>
                <w:rFonts w:ascii="Verdana" w:hAnsi="Verdana" w:cs="Arial"/>
                <w:sz w:val="21"/>
                <w:szCs w:val="21"/>
              </w:rPr>
              <w:t xml:space="preserve"> Fonction</w:t>
            </w:r>
          </w:p>
        </w:tc>
        <w:tc>
          <w:tcPr>
            <w:tcW w:w="1641" w:type="dxa"/>
            <w:tcBorders>
              <w:top w:val="single" w:sz="4" w:space="0" w:color="auto"/>
              <w:left w:val="single" w:sz="4" w:space="0" w:color="auto"/>
              <w:bottom w:val="single" w:sz="4" w:space="0" w:color="auto"/>
              <w:right w:val="single" w:sz="4" w:space="0" w:color="auto"/>
            </w:tcBorders>
            <w:hideMark/>
          </w:tcPr>
          <w:p>
            <w:pPr>
              <w:spacing w:after="0"/>
              <w:rPr>
                <w:rFonts w:ascii="Verdana" w:hAnsi="Verdana" w:cs="Arial"/>
                <w:sz w:val="21"/>
                <w:szCs w:val="21"/>
              </w:rPr>
            </w:pPr>
            <w:r>
              <w:rPr>
                <w:rFonts w:ascii="Verdana" w:hAnsi="Verdana" w:cs="Arial"/>
                <w:sz w:val="21"/>
                <w:szCs w:val="21"/>
              </w:rPr>
              <w:t>A titre :</w:t>
            </w:r>
          </w:p>
          <w:p>
            <w:pPr>
              <w:spacing w:after="0" w:line="240" w:lineRule="auto"/>
              <w:rPr>
                <w:rFonts w:ascii="Verdana" w:hAnsi="Verdana" w:cs="Arial"/>
                <w:sz w:val="21"/>
                <w:szCs w:val="21"/>
              </w:rPr>
            </w:pPr>
            <w:r>
              <w:rPr>
                <w:rFonts w:ascii="Verdana" w:hAnsi="Verdana" w:cs="Arial"/>
                <w:sz w:val="21"/>
                <w:szCs w:val="21"/>
              </w:rPr>
              <w:t>- A.C.S.</w:t>
            </w:r>
          </w:p>
          <w:p>
            <w:pPr>
              <w:spacing w:after="0" w:line="240" w:lineRule="auto"/>
              <w:rPr>
                <w:rFonts w:ascii="Verdana" w:hAnsi="Verdana" w:cs="Arial"/>
                <w:sz w:val="21"/>
                <w:szCs w:val="21"/>
              </w:rPr>
            </w:pPr>
            <w:r>
              <w:rPr>
                <w:rFonts w:ascii="Verdana" w:hAnsi="Verdana" w:cs="Arial"/>
                <w:sz w:val="21"/>
                <w:szCs w:val="21"/>
              </w:rPr>
              <w:t>- A.P.E.</w:t>
            </w:r>
          </w:p>
        </w:tc>
        <w:tc>
          <w:tcPr>
            <w:tcW w:w="1962" w:type="dxa"/>
            <w:tcBorders>
              <w:top w:val="single" w:sz="4" w:space="0" w:color="auto"/>
              <w:left w:val="single" w:sz="4" w:space="0" w:color="auto"/>
              <w:bottom w:val="single" w:sz="4" w:space="0" w:color="auto"/>
              <w:right w:val="single" w:sz="4" w:space="0" w:color="auto"/>
            </w:tcBorders>
            <w:hideMark/>
          </w:tcPr>
          <w:p>
            <w:pPr>
              <w:rPr>
                <w:rFonts w:ascii="Verdana" w:hAnsi="Verdana" w:cs="Arial"/>
                <w:sz w:val="21"/>
                <w:szCs w:val="21"/>
              </w:rPr>
            </w:pPr>
            <w:r>
              <w:rPr>
                <w:rFonts w:ascii="Verdana" w:hAnsi="Verdana" w:cs="Arial"/>
                <w:sz w:val="21"/>
                <w:szCs w:val="21"/>
              </w:rPr>
              <w:t>Nombre d'heures hebdomadaires</w:t>
            </w:r>
          </w:p>
        </w:tc>
        <w:tc>
          <w:tcPr>
            <w:tcW w:w="2008" w:type="dxa"/>
            <w:tcBorders>
              <w:top w:val="single" w:sz="4" w:space="0" w:color="auto"/>
              <w:left w:val="single" w:sz="4" w:space="0" w:color="auto"/>
              <w:bottom w:val="single" w:sz="4" w:space="0" w:color="auto"/>
              <w:right w:val="single" w:sz="4" w:space="0" w:color="auto"/>
            </w:tcBorders>
            <w:hideMark/>
          </w:tcPr>
          <w:p>
            <w:pPr>
              <w:jc w:val="center"/>
              <w:rPr>
                <w:rFonts w:ascii="Verdana" w:hAnsi="Verdana" w:cs="Arial"/>
                <w:sz w:val="21"/>
                <w:szCs w:val="21"/>
              </w:rPr>
            </w:pPr>
            <w:r>
              <w:rPr>
                <w:rFonts w:ascii="Verdana" w:hAnsi="Verdana" w:cs="Arial"/>
                <w:sz w:val="21"/>
                <w:szCs w:val="21"/>
              </w:rPr>
              <w:t>Date de début et date de fin de chaque prestation</w:t>
            </w:r>
          </w:p>
        </w:tc>
        <w:tc>
          <w:tcPr>
            <w:tcW w:w="1201" w:type="dxa"/>
            <w:tcBorders>
              <w:top w:val="single" w:sz="4" w:space="0" w:color="auto"/>
              <w:left w:val="single" w:sz="4" w:space="0" w:color="auto"/>
              <w:bottom w:val="single" w:sz="4" w:space="0" w:color="auto"/>
              <w:right w:val="single" w:sz="4" w:space="0" w:color="auto"/>
            </w:tcBorders>
            <w:hideMark/>
          </w:tcPr>
          <w:p>
            <w:pPr>
              <w:jc w:val="center"/>
              <w:rPr>
                <w:rFonts w:ascii="Verdana" w:hAnsi="Verdana" w:cs="Arial"/>
                <w:sz w:val="21"/>
                <w:szCs w:val="21"/>
              </w:rPr>
            </w:pPr>
            <w:r>
              <w:rPr>
                <w:rFonts w:ascii="Verdana" w:hAnsi="Verdana" w:cs="Arial"/>
                <w:sz w:val="21"/>
                <w:szCs w:val="21"/>
              </w:rPr>
              <w:t>Nombre de jours</w:t>
            </w: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bl>
    <w:p>
      <w:pPr>
        <w:spacing w:after="0" w:line="240" w:lineRule="auto"/>
        <w:jc w:val="both"/>
        <w:rPr>
          <w:rFonts w:ascii="Verdana" w:hAnsi="Verdana" w:cs="Arial"/>
          <w:sz w:val="21"/>
          <w:szCs w:val="21"/>
        </w:rPr>
      </w:pPr>
    </w:p>
    <w:p>
      <w:pPr>
        <w:spacing w:after="0" w:line="240" w:lineRule="auto"/>
        <w:ind w:left="-142"/>
        <w:jc w:val="both"/>
        <w:rPr>
          <w:rFonts w:ascii="Verdana" w:hAnsi="Verdana" w:cs="Arial"/>
          <w:sz w:val="21"/>
          <w:szCs w:val="21"/>
        </w:rPr>
      </w:pPr>
    </w:p>
    <w:p>
      <w:pPr>
        <w:spacing w:after="0" w:line="240" w:lineRule="auto"/>
        <w:ind w:left="-142"/>
        <w:rPr>
          <w:rFonts w:ascii="Verdana" w:hAnsi="Verdana" w:cs="Arial"/>
          <w:sz w:val="21"/>
          <w:szCs w:val="21"/>
        </w:rPr>
      </w:pPr>
      <w:r>
        <w:rPr>
          <w:rFonts w:ascii="Verdana" w:hAnsi="Verdana" w:cs="Arial"/>
          <w:sz w:val="21"/>
          <w:szCs w:val="21"/>
        </w:rPr>
        <w:t xml:space="preserve">Je certifie sur l’honneur que tous les renseignements communiqués via ce formulaire sont sincères et véritables. </w:t>
      </w:r>
    </w:p>
    <w:p>
      <w:pPr>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 </w:t>
      </w:r>
    </w:p>
    <w:p>
      <w:pPr>
        <w:tabs>
          <w:tab w:val="left" w:pos="6237"/>
        </w:tabs>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Fait le </w:t>
      </w:r>
      <w:r>
        <w:rPr>
          <w:rFonts w:ascii="Verdana" w:hAnsi="Verdana" w:cs="Arial"/>
          <w:sz w:val="21"/>
          <w:szCs w:val="21"/>
        </w:rPr>
        <w:tab/>
        <w:t>Signature du candidat</w:t>
      </w:r>
    </w:p>
    <w:p>
      <w:pPr>
        <w:rPr>
          <w:rFonts w:ascii="Verdana" w:hAnsi="Verdana" w:cs="Arial"/>
          <w:sz w:val="21"/>
          <w:szCs w:val="21"/>
        </w:rPr>
      </w:pPr>
    </w:p>
    <w:p>
      <w:pPr>
        <w:rPr>
          <w:rFonts w:ascii="Verdana" w:hAnsi="Verdana" w:cs="Arial"/>
          <w:sz w:val="21"/>
          <w:szCs w:val="21"/>
        </w:rPr>
      </w:pPr>
    </w:p>
    <w:p>
      <w:pPr>
        <w:rPr>
          <w:rFonts w:ascii="Verdana" w:hAnsi="Verdana" w:cs="Arial"/>
          <w:sz w:val="21"/>
          <w:szCs w:val="21"/>
        </w:rPr>
      </w:pPr>
    </w:p>
    <w:p>
      <w:pPr>
        <w:rPr>
          <w:rFonts w:ascii="Verdana" w:hAnsi="Verdana" w:cs="Arial"/>
          <w:sz w:val="21"/>
          <w:szCs w:val="21"/>
        </w:rPr>
      </w:pPr>
    </w:p>
    <w:p>
      <w:pPr>
        <w:pStyle w:val="Titre1"/>
      </w:pPr>
      <w:bookmarkStart w:id="82" w:name="_Toc515540791"/>
      <w:r>
        <w:lastRenderedPageBreak/>
        <w:t>ANNEXE 4 – LES TITRES DONNANT ACCÈS À LA FONCTION DE MAÎTRE DE PSYCHOMOTRICITÉ</w:t>
      </w:r>
      <w:bookmarkEnd w:id="82"/>
    </w:p>
    <w:tbl>
      <w:tblPr>
        <w:tblW w:w="10916" w:type="dxa"/>
        <w:tblInd w:w="-854" w:type="dxa"/>
        <w:shd w:val="clear" w:color="auto" w:fill="FFFFFF"/>
        <w:tblLayout w:type="fixed"/>
        <w:tblCellMar>
          <w:left w:w="0" w:type="dxa"/>
          <w:right w:w="0" w:type="dxa"/>
        </w:tblCellMar>
        <w:tblLook w:val="04A0" w:firstRow="1" w:lastRow="0" w:firstColumn="1" w:lastColumn="0" w:noHBand="0" w:noVBand="1"/>
      </w:tblPr>
      <w:tblGrid>
        <w:gridCol w:w="1418"/>
        <w:gridCol w:w="2977"/>
        <w:gridCol w:w="2126"/>
        <w:gridCol w:w="4395"/>
      </w:tblGrid>
      <w:tr>
        <w:tc>
          <w:tcPr>
            <w:tcW w:w="1418"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 </w:t>
            </w:r>
          </w:p>
        </w:tc>
        <w:tc>
          <w:tcPr>
            <w:tcW w:w="2977"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Diplôme</w:t>
            </w:r>
          </w:p>
        </w:tc>
        <w:tc>
          <w:tcPr>
            <w:tcW w:w="2126"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Dim. pédagogique</w:t>
            </w:r>
          </w:p>
        </w:tc>
        <w:tc>
          <w:tcPr>
            <w:tcW w:w="4395"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Certificat complémentaire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bachelier-régendat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bachelier-régendat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sports et loisirs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sports et loisirs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forme au niveau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forme au niveau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Orientation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Orientation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en éducation physique-sport-entrainement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en éducation physique-sport-entrainement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sous-section : éducation physique -sport organisation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w:t>
            </w:r>
            <w:proofErr w:type="spellStart"/>
            <w:r>
              <w:rPr>
                <w:rFonts w:eastAsia="Times New Roman" w:cstheme="minorHAnsi"/>
                <w:color w:val="0A0A0A"/>
                <w:spacing w:val="2"/>
                <w:sz w:val="18"/>
                <w:szCs w:val="18"/>
                <w:lang w:eastAsia="fr-BE"/>
              </w:rPr>
              <w:t>aesi</w:t>
            </w:r>
            <w:proofErr w:type="spellEnd"/>
            <w:r>
              <w:rPr>
                <w:rFonts w:eastAsia="Times New Roman" w:cstheme="minorHAnsi"/>
                <w:color w:val="0A0A0A"/>
                <w:spacing w:val="2"/>
                <w:sz w:val="18"/>
                <w:szCs w:val="18"/>
                <w:lang w:eastAsia="fr-BE"/>
              </w:rPr>
              <w:t xml:space="preserve"> sous-section : éducation physique -sport organisation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 xml:space="preserve">Bachelier-assistant(e) en psychologie </w:t>
            </w:r>
            <w:proofErr w:type="spellStart"/>
            <w:r>
              <w:rPr>
                <w:rFonts w:eastAsia="Times New Roman" w:cstheme="minorHAnsi"/>
                <w:color w:val="0A0A0A"/>
                <w:spacing w:val="2"/>
                <w:sz w:val="18"/>
                <w:szCs w:val="18"/>
                <w:lang w:eastAsia="fr-BE"/>
              </w:rPr>
              <w:t>option:psychopédagogie</w:t>
            </w:r>
            <w:proofErr w:type="spellEnd"/>
            <w:r>
              <w:rPr>
                <w:rFonts w:eastAsia="Times New Roman" w:cstheme="minorHAnsi"/>
                <w:color w:val="0A0A0A"/>
                <w:spacing w:val="2"/>
                <w:sz w:val="18"/>
                <w:szCs w:val="18"/>
                <w:lang w:eastAsia="fr-BE"/>
              </w:rPr>
              <w:t xml:space="preserv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Bachelier-instituteur(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Conseiller en psychologie appliquée - option psychologie appliquée au développement de l'enfant et de l'adolescent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b)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 : kinésithérapie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Gradué(e) en éducation et rééducation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(1 an d'étude)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(2 ans d'études)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délivré en néerlandais par la communauté flamande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la communauté germanophone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un état de l'U.E.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anglais par un état de l'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anglais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néerlandais par un état de l'U.E.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néerlandais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préscolaire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réadaptation et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Post-graduat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b)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en éducation physique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 xml:space="preserve">Bachelier-assistant(e) en psychologie </w:t>
            </w:r>
            <w:proofErr w:type="spellStart"/>
            <w:r>
              <w:rPr>
                <w:rFonts w:eastAsia="Times New Roman" w:cstheme="minorHAnsi"/>
                <w:color w:val="0A0A0A"/>
                <w:spacing w:val="2"/>
                <w:sz w:val="18"/>
                <w:szCs w:val="18"/>
                <w:lang w:eastAsia="fr-BE"/>
              </w:rPr>
              <w:t>option:psychopédagogie</w:t>
            </w:r>
            <w:proofErr w:type="spellEnd"/>
            <w:r>
              <w:rPr>
                <w:rFonts w:eastAsia="Times New Roman" w:cstheme="minorHAnsi"/>
                <w:color w:val="0A0A0A"/>
                <w:spacing w:val="2"/>
                <w:sz w:val="18"/>
                <w:szCs w:val="18"/>
                <w:lang w:eastAsia="fr-BE"/>
              </w:rPr>
              <w:t xml:space="preserv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 xml:space="preserve">Conseiller en psychologie appliquée - option psychologie appliquée au développement de l'enfant et de </w:t>
            </w:r>
            <w:r>
              <w:rPr>
                <w:rFonts w:eastAsia="Times New Roman" w:cstheme="minorHAnsi"/>
                <w:color w:val="0A0A0A"/>
                <w:spacing w:val="2"/>
                <w:sz w:val="18"/>
                <w:szCs w:val="18"/>
                <w:lang w:eastAsia="fr-BE"/>
              </w:rPr>
              <w:lastRenderedPageBreak/>
              <w:t>l'adolescent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w:t>
            </w:r>
            <w:proofErr w:type="spellStart"/>
            <w:r>
              <w:rPr>
                <w:rFonts w:eastAsia="Times New Roman" w:cstheme="minorHAnsi"/>
                <w:color w:val="0A0A0A"/>
                <w:spacing w:val="2"/>
                <w:sz w:val="18"/>
                <w:szCs w:val="18"/>
                <w:lang w:eastAsia="fr-BE"/>
              </w:rPr>
              <w:t>trice</w:t>
            </w:r>
            <w:proofErr w:type="spellEnd"/>
            <w:r>
              <w:rPr>
                <w:rFonts w:eastAsia="Times New Roman" w:cstheme="minorHAnsi"/>
                <w:color w:val="0A0A0A"/>
                <w:spacing w:val="2"/>
                <w:sz w:val="18"/>
                <w:szCs w:val="18"/>
                <w:lang w:eastAsia="fr-BE"/>
              </w:rPr>
              <w:t xml:space="preserve">) spécialisé(e) en activités </w:t>
            </w:r>
            <w:proofErr w:type="spellStart"/>
            <w:r>
              <w:rPr>
                <w:rFonts w:eastAsia="Times New Roman" w:cstheme="minorHAnsi"/>
                <w:color w:val="0A0A0A"/>
                <w:spacing w:val="2"/>
                <w:sz w:val="18"/>
                <w:szCs w:val="18"/>
                <w:lang w:eastAsia="fr-BE"/>
              </w:rPr>
              <w:t>sociosportives</w:t>
            </w:r>
            <w:proofErr w:type="spellEnd"/>
            <w:r>
              <w:rPr>
                <w:rFonts w:eastAsia="Times New Roman" w:cstheme="minorHAnsi"/>
                <w:color w:val="0A0A0A"/>
                <w:spacing w:val="2"/>
                <w:sz w:val="18"/>
                <w:szCs w:val="18"/>
                <w:lang w:eastAsia="fr-BE"/>
              </w:rPr>
              <w:t xml:space="preserv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 : kinésithérapie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réadaptation et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bl>
    <w:p/>
    <w:p/>
    <w:sectPr>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518480"/>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21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rPr>
          <w:sz w:val="18"/>
        </w:rPr>
      </w:pPr>
      <w:r>
        <w:rPr>
          <w:rStyle w:val="Appelnotedebasdep"/>
          <w:sz w:val="18"/>
        </w:rPr>
        <w:footnoteRef/>
      </w:r>
      <w:r>
        <w:rPr>
          <w:sz w:val="18"/>
        </w:rPr>
        <w:t xml:space="preserve"> Le pouvoir organisateur ne sera pas pour autant dans l’obligation de les recruter à nouveau s’ils n’ont pas acquis l’ancienneté nécessaire pour être prioritaire. </w:t>
      </w:r>
      <w:r>
        <w:rPr>
          <w:sz w:val="18"/>
          <w:highlight w:val="yellow"/>
        </w:rPr>
        <w:t>Ils bénéficient, néanmoins, du calendrier particulier prévu dans le décret pour introduire leur candidature à la désignation à titre temporaire</w:t>
      </w:r>
      <w:r>
        <w:rPr>
          <w:sz w:val="18"/>
        </w:rPr>
        <w:t>.</w:t>
      </w:r>
    </w:p>
  </w:footnote>
  <w:footnote w:id="2">
    <w:p>
      <w:pPr>
        <w:pStyle w:val="Notedebasdepage"/>
        <w:jc w:val="both"/>
      </w:pPr>
      <w:r>
        <w:rPr>
          <w:rStyle w:val="Appelnotedebasdep"/>
          <w:sz w:val="18"/>
        </w:rPr>
        <w:footnoteRef/>
      </w:r>
      <w:r>
        <w:rPr>
          <w:sz w:val="18"/>
        </w:rPr>
        <w:t xml:space="preserve"> Idem.</w:t>
      </w:r>
    </w:p>
  </w:footnote>
  <w:footnote w:id="3">
    <w:p>
      <w:pPr>
        <w:pStyle w:val="Notedebasdepage"/>
        <w:jc w:val="both"/>
        <w:rPr>
          <w:sz w:val="18"/>
          <w:szCs w:val="18"/>
        </w:rPr>
      </w:pPr>
      <w:r>
        <w:rPr>
          <w:rStyle w:val="Appelnotedebasdep"/>
          <w:sz w:val="18"/>
          <w:szCs w:val="18"/>
        </w:rPr>
        <w:footnoteRef/>
      </w:r>
      <w:r>
        <w:rPr>
          <w:sz w:val="18"/>
          <w:szCs w:val="18"/>
        </w:rPr>
        <w:t xml:space="preserve"> Ces règles relatives au calcul de l’ancienneté des membres du personnel sont issues de l’article 34 du décret du 6 juin 1994</w:t>
      </w:r>
      <w:r>
        <w:rPr>
          <w:rFonts w:eastAsia="Times New Roman" w:cstheme="minorHAnsi"/>
          <w:color w:val="000000" w:themeColor="text1"/>
          <w:sz w:val="18"/>
          <w:szCs w:val="18"/>
          <w:shd w:val="clear" w:color="auto" w:fill="FFFFFF"/>
          <w:lang w:eastAsia="fr-FR"/>
        </w:rPr>
        <w:t xml:space="preserve"> fixant le statut des membres du personnel subsidiés de l'enseignement officiel subventionné.</w:t>
      </w:r>
    </w:p>
  </w:footnote>
  <w:footnote w:id="4">
    <w:p>
      <w:pPr>
        <w:pStyle w:val="Notedebasdepage"/>
        <w:jc w:val="both"/>
        <w:rPr>
          <w:sz w:val="18"/>
          <w:szCs w:val="18"/>
        </w:rPr>
      </w:pPr>
      <w:r>
        <w:rPr>
          <w:rStyle w:val="Appelnotedebasdep"/>
          <w:sz w:val="18"/>
          <w:szCs w:val="18"/>
        </w:rPr>
        <w:footnoteRef/>
      </w:r>
      <w:r>
        <w:rPr>
          <w:sz w:val="18"/>
          <w:szCs w:val="18"/>
        </w:rPr>
        <w:t xml:space="preserve"> Exemple : les maîtres de psychomotricité « temporaires », « temporaires prioritaires » ou « nommés » pour une charge complète ou incomplète.</w:t>
      </w:r>
    </w:p>
  </w:footnote>
  <w:footnote w:id="5">
    <w:p>
      <w:pPr>
        <w:pStyle w:val="Notedebasdepage"/>
        <w:jc w:val="both"/>
        <w:rPr>
          <w:sz w:val="18"/>
          <w:szCs w:val="18"/>
        </w:rPr>
      </w:pPr>
      <w:r>
        <w:rPr>
          <w:rStyle w:val="Appelnotedebasdep"/>
          <w:sz w:val="18"/>
          <w:szCs w:val="18"/>
        </w:rPr>
        <w:footnoteRef/>
      </w:r>
      <w:r>
        <w:rPr>
          <w:sz w:val="18"/>
          <w:szCs w:val="18"/>
        </w:rPr>
        <w:t xml:space="preserve"> Sont englobés dans cette période d'activité, les congés de détente ainsi que les vacances d'hiver et de printemps et les congés de maternité, d'accueil en vue de l'adoption et de la tutelle officieuse, et les congés exceptionnels prévus respectivement aux articles 5 et 5bis de l'arrêté royal du 15 janvier 1974 pris en application de l'article 160 de l'arrêté royal du 22 mars 1969 fixant le statut des membres du personnel de l'enseignement de l'Etat, aux articles 2 et 3 de l'arrêté royal du 14 janvier 1979 relatif aux congés de circonstances accordés à certains membres du personnel temporaire des établissements d'enseignement de l'Etat.</w:t>
      </w:r>
    </w:p>
  </w:footnote>
  <w:footnote w:id="6">
    <w:p>
      <w:pPr>
        <w:pStyle w:val="Notedebasdepage"/>
        <w:jc w:val="both"/>
        <w:rPr>
          <w:sz w:val="18"/>
          <w:szCs w:val="18"/>
        </w:rPr>
      </w:pPr>
      <w:r>
        <w:rPr>
          <w:rStyle w:val="Appelnotedebasdep"/>
          <w:sz w:val="18"/>
          <w:szCs w:val="18"/>
        </w:rPr>
        <w:footnoteRef/>
      </w:r>
      <w:r>
        <w:rPr>
          <w:sz w:val="18"/>
          <w:szCs w:val="18"/>
        </w:rPr>
        <w:t xml:space="preserve"> </w:t>
      </w:r>
      <w:proofErr w:type="gramStart"/>
      <w:r>
        <w:rPr>
          <w:sz w:val="18"/>
          <w:szCs w:val="18"/>
        </w:rPr>
        <w:t>vacances</w:t>
      </w:r>
      <w:proofErr w:type="gramEnd"/>
      <w:r>
        <w:rPr>
          <w:sz w:val="18"/>
          <w:szCs w:val="18"/>
        </w:rPr>
        <w:t xml:space="preserve"> d'hiver et de printemps, congés de maternité, d'accueil et de circonstance compris. </w:t>
      </w:r>
    </w:p>
  </w:footnote>
  <w:footnote w:id="7">
    <w:p>
      <w:pPr>
        <w:pStyle w:val="Notedebasdepage"/>
        <w:jc w:val="both"/>
        <w:rPr>
          <w:sz w:val="18"/>
          <w:szCs w:val="18"/>
        </w:rPr>
      </w:pPr>
      <w:r>
        <w:rPr>
          <w:rStyle w:val="Appelnotedebasdep"/>
          <w:sz w:val="18"/>
          <w:szCs w:val="18"/>
        </w:rPr>
        <w:footnoteRef/>
      </w:r>
      <w:r>
        <w:rPr>
          <w:sz w:val="18"/>
          <w:szCs w:val="18"/>
        </w:rPr>
        <w:t xml:space="preserve"> Les congés s'appliquant aux membres du personnel non statutaire qui trouvent leur équivalent dans les congés énumérés au sein de la note </w:t>
      </w:r>
      <w:proofErr w:type="spellStart"/>
      <w:r>
        <w:rPr>
          <w:sz w:val="18"/>
          <w:szCs w:val="18"/>
        </w:rPr>
        <w:t>subpaginale</w:t>
      </w:r>
      <w:proofErr w:type="spellEnd"/>
      <w:r>
        <w:rPr>
          <w:sz w:val="18"/>
          <w:szCs w:val="18"/>
        </w:rPr>
        <w:t xml:space="preserve"> n°5 sont englobés dans cette période d'activité.</w:t>
      </w:r>
    </w:p>
  </w:footnote>
  <w:footnote w:id="8">
    <w:p>
      <w:pPr>
        <w:pStyle w:val="Notedebasdepage"/>
        <w:jc w:val="both"/>
        <w:rPr>
          <w:sz w:val="18"/>
          <w:szCs w:val="18"/>
        </w:rPr>
      </w:pPr>
      <w:r>
        <w:rPr>
          <w:rStyle w:val="Appelnotedebasdep"/>
          <w:sz w:val="18"/>
          <w:szCs w:val="18"/>
        </w:rPr>
        <w:footnoteRef/>
      </w:r>
      <w:r>
        <w:rPr>
          <w:sz w:val="18"/>
          <w:szCs w:val="18"/>
        </w:rPr>
        <w:t xml:space="preserve"> Un poste est partagé lorsque le membre du personnel preste sa charge au sein de plusieurs pouvoirs organisateurs.</w:t>
      </w:r>
    </w:p>
  </w:footnote>
  <w:footnote w:id="9">
    <w:p>
      <w:pPr>
        <w:pStyle w:val="Notedebasdepage"/>
        <w:jc w:val="both"/>
        <w:rPr>
          <w:sz w:val="18"/>
          <w:szCs w:val="18"/>
        </w:rPr>
      </w:pPr>
      <w:r>
        <w:rPr>
          <w:rStyle w:val="Appelnotedebasdep"/>
          <w:sz w:val="18"/>
          <w:szCs w:val="18"/>
        </w:rPr>
        <w:footnoteRef/>
      </w:r>
      <w:r>
        <w:rPr>
          <w:sz w:val="18"/>
          <w:szCs w:val="18"/>
        </w:rPr>
        <w:t xml:space="preserve"> Le pouvoir organisateur porteur de la dépêche d’attribution est le pouvoir organisateur qui gère le dossier administratif du membre du personnel et qui procède à son engagement. Lorsque la dépêche d’attribution attribue un poste à plusieurs pouvoirs organisateurs, un seul d’entre eux est porteur de la dépêche.</w:t>
      </w:r>
    </w:p>
  </w:footnote>
  <w:footnote w:id="10">
    <w:p>
      <w:pPr>
        <w:pStyle w:val="Sansinterligne"/>
        <w:jc w:val="both"/>
        <w:rPr>
          <w:sz w:val="18"/>
          <w:szCs w:val="18"/>
        </w:rPr>
      </w:pPr>
      <w:r>
        <w:rPr>
          <w:rStyle w:val="Appelnotedebasdep"/>
          <w:sz w:val="18"/>
          <w:szCs w:val="18"/>
        </w:rPr>
        <w:footnoteRef/>
      </w:r>
      <w:r>
        <w:rPr>
          <w:sz w:val="18"/>
          <w:szCs w:val="18"/>
        </w:rPr>
        <w:t xml:space="preserve"> La dépêche d’attribution est le document formalisant auprès du pouvoir organisateur l’attribution d’un poste de maitre de psychomotricité, sur base du classement établi en vertu de l’article 3ter, § 3, 2°, du décret du 13 juillet 1998 portant organisation de l’enseignement maternel et primaire ordinaire et modifiant la règlementation de l’enseignement. </w:t>
      </w:r>
    </w:p>
  </w:footnote>
  <w:footnote w:id="11">
    <w:p>
      <w:pPr>
        <w:pStyle w:val="Notedebasdepage"/>
        <w:jc w:val="both"/>
        <w:rPr>
          <w:sz w:val="18"/>
          <w:szCs w:val="18"/>
        </w:rPr>
      </w:pPr>
      <w:r>
        <w:rPr>
          <w:rStyle w:val="Appelnotedebasdep"/>
          <w:sz w:val="18"/>
          <w:szCs w:val="18"/>
        </w:rPr>
        <w:footnoteRef/>
      </w:r>
      <w:r>
        <w:rPr>
          <w:sz w:val="18"/>
          <w:szCs w:val="18"/>
        </w:rPr>
        <w:t xml:space="preserve"> En cas de contestation relative à la valorisation des services accomplis, le pouvoir organisateur ou le membre du personnel ont la possibilité de s’adresser au Service ACS-APE-PTP à l’adresse courriel suivante : </w:t>
      </w:r>
      <w:hyperlink r:id="rId1" w:history="1">
        <w:r>
          <w:rPr>
            <w:rStyle w:val="Lienhypertexte"/>
            <w:sz w:val="18"/>
            <w:szCs w:val="18"/>
          </w:rPr>
          <w:t>bernard.verkercke@cfwb.be</w:t>
        </w:r>
      </w:hyperlink>
    </w:p>
  </w:footnote>
  <w:footnote w:id="12">
    <w:p>
      <w:pPr>
        <w:pStyle w:val="Notedebasdepage"/>
        <w:jc w:val="both"/>
        <w:rPr>
          <w:sz w:val="18"/>
          <w:szCs w:val="18"/>
        </w:rPr>
      </w:pPr>
      <w:r>
        <w:rPr>
          <w:rStyle w:val="Appelnotedebasdep"/>
          <w:sz w:val="18"/>
          <w:szCs w:val="18"/>
        </w:rPr>
        <w:footnoteRef/>
      </w:r>
      <w:r>
        <w:rPr>
          <w:sz w:val="18"/>
          <w:szCs w:val="18"/>
        </w:rPr>
        <w:t xml:space="preserve"> La forme dans laquelle ces documents seront remis est libre. </w:t>
      </w:r>
    </w:p>
  </w:footnote>
  <w:footnote w:id="13">
    <w:p>
      <w:pPr>
        <w:pStyle w:val="Notedebasdepage"/>
        <w:jc w:val="both"/>
        <w:rPr>
          <w:sz w:val="18"/>
          <w:szCs w:val="18"/>
        </w:rPr>
      </w:pPr>
      <w:r>
        <w:rPr>
          <w:rStyle w:val="Appelnotedebasdep"/>
          <w:sz w:val="18"/>
          <w:szCs w:val="18"/>
        </w:rPr>
        <w:footnoteRef/>
      </w:r>
      <w:r>
        <w:rPr>
          <w:sz w:val="18"/>
          <w:szCs w:val="18"/>
        </w:rPr>
        <w:t xml:space="preserve"> Circulaire n°6267 du 60 juin 2017 intitulée </w:t>
      </w:r>
      <w:hyperlink r:id="rId2" w:history="1">
        <w:r>
          <w:rPr>
            <w:rStyle w:val="Lienhypertexte"/>
            <w:sz w:val="18"/>
            <w:szCs w:val="18"/>
          </w:rPr>
          <w:t>« Circulaire de rentrée des membres du personnel de l’enseignement fondamental ordinaire et spécialisé. Année scolaire 2017-2018 »</w:t>
        </w:r>
      </w:hyperlink>
      <w:r>
        <w:rPr>
          <w:sz w:val="18"/>
          <w:szCs w:val="18"/>
        </w:rPr>
        <w:t xml:space="preserve"> .</w:t>
      </w:r>
    </w:p>
  </w:footnote>
  <w:footnote w:id="14">
    <w:p>
      <w:pPr>
        <w:pStyle w:val="Notedebasdepage"/>
        <w:jc w:val="both"/>
        <w:rPr>
          <w:sz w:val="18"/>
          <w:szCs w:val="18"/>
        </w:rPr>
      </w:pPr>
      <w:r>
        <w:rPr>
          <w:rStyle w:val="Appelnotedebasdep"/>
          <w:sz w:val="18"/>
          <w:szCs w:val="18"/>
        </w:rPr>
        <w:footnoteRef/>
      </w:r>
      <w:r>
        <w:rPr>
          <w:sz w:val="18"/>
          <w:szCs w:val="18"/>
        </w:rPr>
        <w:t xml:space="preserve"> Le membre du personnel est réputé avoir presté sa fonction au sein des pouvoirs organisateurs visés dans les exemples durant toute l’année scolaire.</w:t>
      </w:r>
    </w:p>
  </w:footnote>
  <w:footnote w:id="15">
    <w:p>
      <w:pPr>
        <w:pStyle w:val="Notedebasdepage"/>
        <w:jc w:val="both"/>
        <w:rPr>
          <w:sz w:val="18"/>
          <w:szCs w:val="18"/>
        </w:rPr>
      </w:pPr>
      <w:r>
        <w:rPr>
          <w:rStyle w:val="Appelnotedebasdep"/>
          <w:sz w:val="18"/>
          <w:szCs w:val="18"/>
        </w:rPr>
        <w:footnoteRef/>
      </w:r>
      <w:r>
        <w:rPr>
          <w:sz w:val="18"/>
          <w:szCs w:val="18"/>
        </w:rPr>
        <w:t xml:space="preserve"> À défaut de demande de valorisation de l’ancienneté dans les autres PO, il comptabilisera 900 jours dans le PO A et 0 jour dans le PO B.</w:t>
      </w:r>
    </w:p>
  </w:footnote>
  <w:footnote w:id="16">
    <w:p>
      <w:pPr>
        <w:pStyle w:val="Notedebasdepage"/>
        <w:jc w:val="both"/>
        <w:rPr>
          <w:sz w:val="18"/>
          <w:szCs w:val="18"/>
        </w:rPr>
      </w:pPr>
      <w:r>
        <w:rPr>
          <w:rStyle w:val="Appelnotedebasdep"/>
          <w:sz w:val="18"/>
          <w:szCs w:val="18"/>
        </w:rPr>
        <w:footnoteRef/>
      </w:r>
      <w:r>
        <w:rPr>
          <w:sz w:val="18"/>
          <w:szCs w:val="18"/>
        </w:rPr>
        <w:t xml:space="preserve"> </w:t>
      </w:r>
      <w:r>
        <w:rPr>
          <w:rFonts w:cstheme="minorHAnsi"/>
          <w:sz w:val="18"/>
          <w:szCs w:val="18"/>
        </w:rPr>
        <w:t>À</w:t>
      </w:r>
      <w:r>
        <w:rPr>
          <w:sz w:val="18"/>
          <w:szCs w:val="18"/>
        </w:rPr>
        <w:t xml:space="preserve"> défaut de demande de valorisation de l’ancienneté dans les autres PO, il comptabilisera 900 jours d’ancienneté (3 x 300 jours) dans le PO A et 0 jour d’ancienneté dans les autres PO.</w:t>
      </w:r>
    </w:p>
  </w:footnote>
  <w:footnote w:id="17">
    <w:p>
      <w:pPr>
        <w:pStyle w:val="Notedebasdepage"/>
        <w:jc w:val="both"/>
        <w:rPr>
          <w:sz w:val="18"/>
          <w:szCs w:val="18"/>
        </w:rPr>
      </w:pPr>
      <w:r>
        <w:rPr>
          <w:rStyle w:val="Appelnotedebasdep"/>
          <w:sz w:val="18"/>
          <w:szCs w:val="18"/>
        </w:rPr>
        <w:footnoteRef/>
      </w:r>
      <w:r>
        <w:rPr>
          <w:sz w:val="18"/>
          <w:szCs w:val="18"/>
        </w:rPr>
        <w:t xml:space="preserve"> Le membre du personnel est réputé avoir presté sa fonction au sein des pouvoirs organisateurs visés dans les exemples durant toute l’année scolaire. </w:t>
      </w:r>
    </w:p>
  </w:footnote>
  <w:footnote w:id="18">
    <w:p>
      <w:pPr>
        <w:pStyle w:val="Notedebasdepage"/>
        <w:jc w:val="both"/>
        <w:rPr>
          <w:sz w:val="18"/>
          <w:szCs w:val="18"/>
        </w:rPr>
      </w:pPr>
      <w:r>
        <w:rPr>
          <w:rStyle w:val="Appelnotedebasdep"/>
          <w:sz w:val="18"/>
          <w:szCs w:val="18"/>
        </w:rPr>
        <w:footnoteRef/>
      </w:r>
      <w:r>
        <w:rPr>
          <w:sz w:val="18"/>
          <w:szCs w:val="18"/>
        </w:rPr>
        <w:t xml:space="preserve"> Voir Chapitre III, point 2.2.</w:t>
      </w:r>
    </w:p>
  </w:footnote>
  <w:footnote w:id="19">
    <w:p>
      <w:pPr>
        <w:pStyle w:val="Notedebasdepage"/>
        <w:jc w:val="both"/>
        <w:rPr>
          <w:sz w:val="18"/>
          <w:szCs w:val="18"/>
        </w:rPr>
      </w:pPr>
      <w:r>
        <w:rPr>
          <w:rStyle w:val="Appelnotedebasdep"/>
          <w:sz w:val="18"/>
          <w:szCs w:val="18"/>
        </w:rPr>
        <w:footnoteRef/>
      </w:r>
      <w:r>
        <w:rPr>
          <w:sz w:val="18"/>
          <w:szCs w:val="18"/>
        </w:rPr>
        <w:t xml:space="preserve"> Ceux-ci sont listés à l’annexe 4 de la présente circulaire.</w:t>
      </w:r>
    </w:p>
  </w:footnote>
  <w:footnote w:id="20">
    <w:p>
      <w:pPr>
        <w:pStyle w:val="Notedebasdepage"/>
        <w:jc w:val="both"/>
        <w:rPr>
          <w:sz w:val="18"/>
          <w:szCs w:val="18"/>
        </w:rPr>
      </w:pPr>
      <w:r>
        <w:rPr>
          <w:rStyle w:val="Appelnotedebasdep"/>
          <w:sz w:val="18"/>
          <w:szCs w:val="18"/>
        </w:rPr>
        <w:footnoteRef/>
      </w:r>
      <w:r>
        <w:rPr>
          <w:sz w:val="18"/>
          <w:szCs w:val="18"/>
        </w:rPr>
        <w:t xml:space="preserve"> Article 24 du décret du 6 juin 1994</w:t>
      </w:r>
      <w:r>
        <w:rPr>
          <w:rFonts w:eastAsia="Times New Roman" w:cstheme="minorHAnsi"/>
          <w:color w:val="000000" w:themeColor="text1"/>
          <w:sz w:val="18"/>
          <w:szCs w:val="18"/>
          <w:shd w:val="clear" w:color="auto" w:fill="FFFFFF"/>
          <w:lang w:eastAsia="fr-FR"/>
        </w:rPr>
        <w:t xml:space="preserve"> fixant le statut des membres du personnel subsidiés de l'enseignement officiel subventionné.</w:t>
      </w:r>
    </w:p>
  </w:footnote>
  <w:footnote w:id="21">
    <w:p>
      <w:pPr>
        <w:pStyle w:val="Notedebasdepage"/>
        <w:jc w:val="both"/>
        <w:rPr>
          <w:rFonts w:cstheme="minorHAnsi"/>
          <w:sz w:val="18"/>
        </w:rPr>
      </w:pPr>
      <w:r>
        <w:rPr>
          <w:rStyle w:val="Appelnotedebasdep"/>
          <w:rFonts w:cstheme="minorHAnsi"/>
          <w:sz w:val="18"/>
        </w:rPr>
        <w:t>[1]</w:t>
      </w:r>
      <w:r>
        <w:rPr>
          <w:rFonts w:cstheme="minorHAnsi"/>
          <w:sz w:val="18"/>
        </w:rPr>
        <w:t xml:space="preserve"> En vertu des règles décrites dans le présent Chapitre.</w:t>
      </w:r>
    </w:p>
  </w:footnote>
  <w:footnote w:id="22">
    <w:p>
      <w:pPr>
        <w:pStyle w:val="Notedebasdepage"/>
        <w:jc w:val="both"/>
        <w:rPr>
          <w:rFonts w:cstheme="minorHAnsi"/>
          <w:sz w:val="18"/>
        </w:rPr>
      </w:pPr>
      <w:r>
        <w:rPr>
          <w:rStyle w:val="Appelnotedebasdep"/>
          <w:rFonts w:cstheme="minorHAnsi"/>
          <w:sz w:val="18"/>
        </w:rPr>
        <w:footnoteRef/>
      </w:r>
      <w:r>
        <w:rPr>
          <w:rFonts w:cstheme="minorHAnsi"/>
          <w:sz w:val="18"/>
        </w:rPr>
        <w:t xml:space="preserve"> S</w:t>
      </w:r>
      <w:r>
        <w:rPr>
          <w:rStyle w:val="Accentuation"/>
          <w:rFonts w:cstheme="minorHAnsi"/>
          <w:bCs/>
          <w:sz w:val="18"/>
          <w:shd w:val="clear" w:color="auto" w:fill="FFFFFF"/>
        </w:rPr>
        <w:t>ervice général de Coordination, de Conception et des Relations sociales</w:t>
      </w:r>
    </w:p>
  </w:footnote>
  <w:footnote w:id="23">
    <w:p>
      <w:pPr>
        <w:pStyle w:val="Notedebasdepage"/>
        <w:jc w:val="both"/>
        <w:rPr>
          <w:sz w:val="18"/>
          <w:szCs w:val="18"/>
        </w:rPr>
      </w:pPr>
      <w:r>
        <w:rPr>
          <w:rStyle w:val="Appelnotedebasdep"/>
          <w:sz w:val="18"/>
          <w:szCs w:val="18"/>
        </w:rPr>
        <w:footnoteRef/>
      </w:r>
      <w:r>
        <w:rPr>
          <w:sz w:val="18"/>
          <w:szCs w:val="18"/>
        </w:rPr>
        <w:t xml:space="preserve"> Ne peuvent, dès lors, se prévaloir de cette priorité les membres du personnel qui ne comptabilisent pas, au 30 juin 2018, l’ancienneté nécessaire, en ce compris après le </w:t>
      </w:r>
      <w:proofErr w:type="spellStart"/>
      <w:r>
        <w:rPr>
          <w:sz w:val="18"/>
          <w:szCs w:val="18"/>
        </w:rPr>
        <w:t>recalcul</w:t>
      </w:r>
      <w:proofErr w:type="spellEnd"/>
      <w:r>
        <w:rPr>
          <w:sz w:val="18"/>
          <w:szCs w:val="18"/>
        </w:rPr>
        <w:t xml:space="preserve"> de l’ancienneté selon les modalités exposées au Chapitre III. </w:t>
      </w:r>
    </w:p>
  </w:footnote>
  <w:footnote w:id="24">
    <w:p>
      <w:pPr>
        <w:pStyle w:val="Notedebasdepage"/>
        <w:jc w:val="both"/>
        <w:rPr>
          <w:sz w:val="18"/>
          <w:szCs w:val="18"/>
        </w:rPr>
      </w:pPr>
      <w:r>
        <w:rPr>
          <w:rStyle w:val="Appelnotedebasdep"/>
          <w:sz w:val="18"/>
          <w:szCs w:val="18"/>
        </w:rPr>
        <w:footnoteRef/>
      </w:r>
      <w:r>
        <w:rPr>
          <w:sz w:val="18"/>
          <w:szCs w:val="18"/>
        </w:rPr>
        <w:t xml:space="preserve"> Ne peuvent, dès lors, se prévaloir de cette priorité les membres du personnel qui ne comptabilisent pas, au 30 juin 2018, l’ancienneté nécessaire, en ce compris après le </w:t>
      </w:r>
      <w:proofErr w:type="spellStart"/>
      <w:r>
        <w:rPr>
          <w:sz w:val="18"/>
          <w:szCs w:val="18"/>
        </w:rPr>
        <w:t>recalcul</w:t>
      </w:r>
      <w:proofErr w:type="spellEnd"/>
      <w:r>
        <w:rPr>
          <w:sz w:val="18"/>
          <w:szCs w:val="18"/>
        </w:rPr>
        <w:t xml:space="preserve"> de l’ancienneté selon les modalités exposées au Chapitre III. </w:t>
      </w:r>
    </w:p>
  </w:footnote>
  <w:footnote w:id="25">
    <w:p>
      <w:pPr>
        <w:pStyle w:val="Notedebasdepage"/>
      </w:pPr>
      <w:r>
        <w:rPr>
          <w:rStyle w:val="Appelnotedebasdep"/>
        </w:rPr>
        <w:footnoteRef/>
      </w:r>
      <w:r>
        <w:t xml:space="preserve"> </w:t>
      </w:r>
      <w:proofErr w:type="spellStart"/>
      <w:r>
        <w:t>Cf</w:t>
      </w:r>
      <w:proofErr w:type="spellEnd"/>
      <w:r>
        <w:t xml:space="preserve"> calendrier en annexe 1</w:t>
      </w:r>
    </w:p>
  </w:footnote>
  <w:footnote w:id="26">
    <w:p>
      <w:pPr>
        <w:pStyle w:val="Notedebasdepage"/>
        <w:jc w:val="both"/>
        <w:rPr>
          <w:sz w:val="18"/>
          <w:szCs w:val="18"/>
        </w:rPr>
      </w:pPr>
      <w:r>
        <w:rPr>
          <w:rStyle w:val="Appelnotedebasdep"/>
          <w:sz w:val="18"/>
          <w:szCs w:val="18"/>
        </w:rPr>
        <w:footnoteRef/>
      </w:r>
      <w:r>
        <w:rPr>
          <w:sz w:val="18"/>
          <w:szCs w:val="18"/>
        </w:rPr>
        <w:t xml:space="preserve"> Exemple : maitre d’éducation physique ou instituteur maternel.</w:t>
      </w:r>
    </w:p>
  </w:footnote>
  <w:footnote w:id="27">
    <w:p>
      <w:pPr>
        <w:pStyle w:val="Notedebasdepage"/>
        <w:jc w:val="both"/>
        <w:rPr>
          <w:sz w:val="18"/>
          <w:szCs w:val="18"/>
        </w:rPr>
      </w:pPr>
      <w:r>
        <w:rPr>
          <w:rStyle w:val="Appelnotedebasdep"/>
          <w:sz w:val="18"/>
          <w:szCs w:val="18"/>
        </w:rPr>
        <w:footnoteRef/>
      </w:r>
      <w:r>
        <w:rPr>
          <w:sz w:val="18"/>
          <w:szCs w:val="18"/>
        </w:rPr>
        <w:t xml:space="preserve"> </w:t>
      </w:r>
      <w:r>
        <w:rPr>
          <w:rFonts w:cstheme="minorHAnsi"/>
          <w:color w:val="000000" w:themeColor="text1"/>
          <w:sz w:val="18"/>
          <w:szCs w:val="18"/>
        </w:rPr>
        <w:t>Décret du 11 avril 2014 réglementant les titres et fonctions dans l'enseignement fondamental et secondaire organisé et subventionné par la Communauté française</w:t>
      </w:r>
    </w:p>
  </w:footnote>
  <w:footnote w:id="28">
    <w:p>
      <w:pPr>
        <w:pStyle w:val="Notedebasdepage"/>
        <w:jc w:val="both"/>
        <w:rPr>
          <w:rFonts w:cstheme="minorHAnsi"/>
          <w:sz w:val="18"/>
          <w:szCs w:val="18"/>
        </w:rPr>
      </w:pPr>
      <w:r>
        <w:rPr>
          <w:rStyle w:val="Appelnotedebasdep"/>
          <w:rFonts w:cstheme="minorHAnsi"/>
          <w:color w:val="000000" w:themeColor="text1"/>
          <w:sz w:val="18"/>
          <w:szCs w:val="18"/>
        </w:rPr>
        <w:footnoteRef/>
      </w:r>
      <w:r>
        <w:rPr>
          <w:rFonts w:cstheme="minorHAnsi"/>
          <w:color w:val="000000" w:themeColor="text1"/>
          <w:sz w:val="18"/>
          <w:szCs w:val="18"/>
        </w:rPr>
        <w:t xml:space="preserve"> Dans le respect de la priorisation des titres (Décret du 11 avril 2014 réglementant les titres et fonctions dans l'enseignement fondamental et secondaire organisé et subventionné par la Communauté française).</w:t>
      </w:r>
    </w:p>
  </w:footnote>
  <w:footnote w:id="29">
    <w:p>
      <w:pPr>
        <w:pStyle w:val="Notedebasdepage"/>
        <w:jc w:val="both"/>
        <w:rPr>
          <w:sz w:val="18"/>
          <w:szCs w:val="18"/>
        </w:rPr>
      </w:pPr>
      <w:r>
        <w:rPr>
          <w:rStyle w:val="Appelnotedebasdep"/>
          <w:sz w:val="18"/>
          <w:szCs w:val="18"/>
        </w:rPr>
        <w:footnoteRef/>
      </w:r>
      <w:r>
        <w:rPr>
          <w:sz w:val="18"/>
          <w:szCs w:val="18"/>
        </w:rPr>
        <w:t xml:space="preserve"> Pour plus d’information sur le processus des réaffectations, je vous invite à consulter la </w:t>
      </w:r>
      <w:hyperlink r:id="rId3" w:history="1">
        <w:r>
          <w:rPr>
            <w:rStyle w:val="Lienhypertexte"/>
            <w:sz w:val="18"/>
            <w:szCs w:val="18"/>
          </w:rPr>
          <w:t>Circulaire n°6350 du 13 septembre 2017 relative notification des mises en disponibilité par défaut d’emploi, des pertes partielles de charge et des réaffectations – Déclaration des emplois vacants (FOND – OS)</w:t>
        </w:r>
      </w:hyperlink>
      <w:r>
        <w:rPr>
          <w:sz w:val="18"/>
          <w:szCs w:val="18"/>
        </w:rPr>
        <w:t>.</w:t>
      </w:r>
    </w:p>
  </w:footnote>
  <w:footnote w:id="30">
    <w:p>
      <w:pPr>
        <w:pStyle w:val="Notedebasdepage"/>
        <w:jc w:val="both"/>
        <w:rPr>
          <w:sz w:val="18"/>
          <w:szCs w:val="18"/>
        </w:rPr>
      </w:pPr>
      <w:r>
        <w:rPr>
          <w:rStyle w:val="Appelnotedebasdep"/>
          <w:sz w:val="18"/>
          <w:szCs w:val="18"/>
        </w:rPr>
        <w:footnoteRef/>
      </w:r>
      <w:r>
        <w:rPr>
          <w:sz w:val="18"/>
          <w:szCs w:val="18"/>
        </w:rPr>
        <w:t xml:space="preserve"> Les titres suffisants et les titres requis pour exercer la fonction de maitre de psychomotricité sont listés à l’annexe 4 de la présente circulaire. Pour plus d’information sur les titres donnant accès à la fonction de maitre de psychomotricité, je vous invite à consulter la plateforme « </w:t>
      </w:r>
      <w:proofErr w:type="spellStart"/>
      <w:r>
        <w:rPr>
          <w:sz w:val="18"/>
          <w:szCs w:val="18"/>
        </w:rPr>
        <w:t>Primoweb</w:t>
      </w:r>
      <w:proofErr w:type="spellEnd"/>
      <w:r>
        <w:rPr>
          <w:sz w:val="18"/>
          <w:szCs w:val="18"/>
        </w:rPr>
        <w:t xml:space="preserve"> » à l’adresse suivante : </w:t>
      </w:r>
      <w:hyperlink r:id="rId4" w:history="1">
        <w:r>
          <w:rPr>
            <w:rStyle w:val="Lienhypertexte"/>
            <w:sz w:val="18"/>
            <w:szCs w:val="18"/>
          </w:rPr>
          <w:t>http://www.enseignement.be/index.php?page=27705</w:t>
        </w:r>
      </w:hyperlink>
      <w:r>
        <w:rPr>
          <w:sz w:val="18"/>
          <w:szCs w:val="18"/>
        </w:rPr>
        <w:t xml:space="preserve"> .</w:t>
      </w:r>
    </w:p>
  </w:footnote>
  <w:footnote w:id="31">
    <w:p>
      <w:pPr>
        <w:pStyle w:val="Notedebasdepage"/>
        <w:jc w:val="both"/>
        <w:rPr>
          <w:sz w:val="18"/>
          <w:szCs w:val="18"/>
        </w:rPr>
      </w:pPr>
      <w:r>
        <w:rPr>
          <w:rStyle w:val="Appelnotedebasdep"/>
          <w:b/>
          <w:sz w:val="18"/>
          <w:szCs w:val="18"/>
        </w:rPr>
        <w:footnoteRef/>
      </w:r>
      <w:r>
        <w:rPr>
          <w:b/>
          <w:sz w:val="18"/>
          <w:szCs w:val="18"/>
        </w:rPr>
        <w:t xml:space="preserve"> Il s’agit de la date limite d’introduction de la candidature en vue d’une désignation à titre temporaire pour les membres du personnel non visés au Chapitre II. Les membres du personnel visés au Chapitre II devront, en revanche, obligatoirement introduire une candidature durant le mois de juin 2018 pour entrer dans le champ d’application des mesures exposées dans la présente circulaire (dont notamment, la dévolution particulière des emplois en leur faveur). Si ces derniers ont introduit une candidature avant le 31 mai 2018, </w:t>
      </w:r>
      <w:r>
        <w:rPr>
          <w:b/>
          <w:sz w:val="18"/>
          <w:szCs w:val="18"/>
          <w:u w:val="single"/>
        </w:rPr>
        <w:t>ils devront donc, en outre, introduire une candidature avant le 30 juin 2018</w:t>
      </w:r>
      <w:r>
        <w:rPr>
          <w:b/>
          <w:sz w:val="18"/>
          <w:szCs w:val="18"/>
        </w:rPr>
        <w:t>.</w:t>
      </w:r>
    </w:p>
  </w:footnote>
  <w:footnote w:id="32">
    <w:p>
      <w:pPr>
        <w:pStyle w:val="Notedebasdepage"/>
        <w:jc w:val="both"/>
        <w:rPr>
          <w:b/>
          <w:sz w:val="18"/>
          <w:szCs w:val="18"/>
        </w:rPr>
      </w:pPr>
      <w:r>
        <w:rPr>
          <w:rStyle w:val="Appelnotedebasdep"/>
          <w:b/>
          <w:sz w:val="18"/>
          <w:szCs w:val="18"/>
        </w:rPr>
        <w:footnoteRef/>
      </w:r>
      <w:r>
        <w:rPr>
          <w:b/>
          <w:sz w:val="18"/>
          <w:szCs w:val="18"/>
        </w:rPr>
        <w:t xml:space="preserve"> Il s’agit de la date limite d’introduction de la demande écrite pour les membres du personnel non visés au Chapitre II. Les membres du personnel visés au Chapitre II, devront, en revanche, obligatoirement introduire une candidature durant le mois de juin 2018 pour entrer dans le champ d’application des mesures exposées dans la présente circulaire (dont notamment, la dévolution particulière des emplois en leur faveur). Si ces derniers ont introduit une demande écrite avant le 15 avril 2018, </w:t>
      </w:r>
      <w:r>
        <w:rPr>
          <w:b/>
          <w:sz w:val="18"/>
          <w:szCs w:val="18"/>
          <w:u w:val="single"/>
        </w:rPr>
        <w:t>ils devront donc, en outre, introduire une candidature avant le 30 juin 2018.</w:t>
      </w:r>
    </w:p>
  </w:footnote>
  <w:footnote w:id="33">
    <w:p>
      <w:pPr>
        <w:pStyle w:val="Notedebasdepage"/>
        <w:jc w:val="both"/>
        <w:rPr>
          <w:sz w:val="18"/>
          <w:szCs w:val="18"/>
        </w:rPr>
      </w:pPr>
      <w:r>
        <w:rPr>
          <w:rStyle w:val="Appelnotedebasdep"/>
          <w:sz w:val="18"/>
          <w:szCs w:val="18"/>
        </w:rPr>
        <w:footnoteRef/>
      </w:r>
      <w:r>
        <w:rPr>
          <w:sz w:val="18"/>
          <w:szCs w:val="18"/>
        </w:rPr>
        <w:t xml:space="preserve"> Voir Chapitre IV, point 1.1.</w:t>
      </w:r>
    </w:p>
  </w:footnote>
  <w:footnote w:id="34">
    <w:p>
      <w:pPr>
        <w:pStyle w:val="Notedebasdepage"/>
        <w:jc w:val="both"/>
        <w:rPr>
          <w:sz w:val="18"/>
          <w:szCs w:val="18"/>
        </w:rPr>
      </w:pPr>
      <w:r>
        <w:rPr>
          <w:rStyle w:val="Appelnotedebasdep"/>
          <w:sz w:val="18"/>
          <w:szCs w:val="18"/>
        </w:rPr>
        <w:footnoteRef/>
      </w:r>
      <w:r>
        <w:rPr>
          <w:sz w:val="18"/>
          <w:szCs w:val="18"/>
        </w:rPr>
        <w:t xml:space="preserve"> Voir Chapitre V, point 1.</w:t>
      </w:r>
    </w:p>
  </w:footnote>
  <w:footnote w:id="35">
    <w:p>
      <w:pPr>
        <w:pStyle w:val="Notedebasdepage"/>
        <w:jc w:val="both"/>
        <w:rPr>
          <w:sz w:val="18"/>
          <w:szCs w:val="18"/>
        </w:rPr>
      </w:pPr>
      <w:r>
        <w:rPr>
          <w:rStyle w:val="Appelnotedebasdep"/>
          <w:sz w:val="18"/>
          <w:szCs w:val="18"/>
        </w:rPr>
        <w:footnoteRef/>
      </w:r>
      <w:r>
        <w:rPr>
          <w:sz w:val="18"/>
          <w:szCs w:val="18"/>
        </w:rPr>
        <w:t xml:space="preserve"> Voir Chapitre IV, point 1.1.</w:t>
      </w:r>
    </w:p>
  </w:footnote>
  <w:footnote w:id="36">
    <w:p>
      <w:pPr>
        <w:pStyle w:val="Notedebasdepage"/>
        <w:jc w:val="both"/>
        <w:rPr>
          <w:sz w:val="18"/>
          <w:szCs w:val="18"/>
        </w:rPr>
      </w:pPr>
      <w:r>
        <w:rPr>
          <w:rStyle w:val="Appelnotedebasdep"/>
          <w:sz w:val="18"/>
          <w:szCs w:val="18"/>
        </w:rPr>
        <w:footnoteRef/>
      </w:r>
      <w:r>
        <w:rPr>
          <w:sz w:val="18"/>
          <w:szCs w:val="18"/>
        </w:rPr>
        <w:t xml:space="preserve"> Voir Chapitre III, point 2.2. </w:t>
      </w:r>
      <w:proofErr w:type="gramStart"/>
      <w:r>
        <w:rPr>
          <w:sz w:val="18"/>
          <w:szCs w:val="18"/>
        </w:rPr>
        <w:t>et</w:t>
      </w:r>
      <w:proofErr w:type="gramEnd"/>
      <w:r>
        <w:rPr>
          <w:sz w:val="18"/>
          <w:szCs w:val="18"/>
        </w:rPr>
        <w:t xml:space="preserve"> Chapitre IV, point 1.1.</w:t>
      </w:r>
    </w:p>
  </w:footnote>
  <w:footnote w:id="37">
    <w:p>
      <w:pPr>
        <w:pStyle w:val="Notedebasdepage"/>
        <w:jc w:val="both"/>
        <w:rPr>
          <w:sz w:val="18"/>
          <w:szCs w:val="18"/>
        </w:rPr>
      </w:pPr>
      <w:r>
        <w:rPr>
          <w:rStyle w:val="Appelnotedebasdep"/>
          <w:sz w:val="18"/>
          <w:szCs w:val="18"/>
        </w:rPr>
        <w:footnoteRef/>
      </w:r>
      <w:r>
        <w:rPr>
          <w:sz w:val="18"/>
          <w:szCs w:val="18"/>
        </w:rPr>
        <w:t xml:space="preserve"> Voir Chapitre V, point 2.1.</w:t>
      </w:r>
    </w:p>
  </w:footnote>
  <w:footnote w:id="38">
    <w:p>
      <w:pPr>
        <w:pStyle w:val="Notedebasdepage"/>
        <w:jc w:val="both"/>
        <w:rPr>
          <w:sz w:val="18"/>
          <w:szCs w:val="18"/>
        </w:rPr>
      </w:pPr>
      <w:r>
        <w:rPr>
          <w:rStyle w:val="Appelnotedebasdep"/>
          <w:sz w:val="18"/>
          <w:szCs w:val="18"/>
        </w:rPr>
        <w:footnoteRef/>
      </w:r>
      <w:r>
        <w:rPr>
          <w:sz w:val="18"/>
          <w:szCs w:val="18"/>
        </w:rPr>
        <w:t xml:space="preserve"> Voir Chapitre V, point 1.</w:t>
      </w:r>
    </w:p>
  </w:footnote>
  <w:footnote w:id="39">
    <w:p>
      <w:pPr>
        <w:pStyle w:val="Notedebasdepage"/>
      </w:pPr>
      <w:r>
        <w:rPr>
          <w:rStyle w:val="Appelnotedebasdep"/>
        </w:rPr>
        <w:footnoteRef/>
      </w:r>
      <w:r>
        <w:t xml:space="preserve"> </w:t>
      </w:r>
      <w:r>
        <w:rPr>
          <w:sz w:val="18"/>
          <w:szCs w:val="18"/>
        </w:rPr>
        <w:t>Voir Chapitre III, point 2.2.1.</w:t>
      </w:r>
    </w:p>
  </w:footnote>
  <w:footnote w:id="40">
    <w:p>
      <w:pPr>
        <w:pStyle w:val="Notedebasdepage"/>
        <w:jc w:val="both"/>
        <w:rPr>
          <w:sz w:val="18"/>
          <w:szCs w:val="18"/>
        </w:rPr>
      </w:pPr>
      <w:r>
        <w:rPr>
          <w:rStyle w:val="Appelnotedebasdep"/>
          <w:sz w:val="18"/>
          <w:szCs w:val="18"/>
        </w:rPr>
        <w:footnoteRef/>
      </w:r>
      <w:r>
        <w:rPr>
          <w:sz w:val="18"/>
          <w:szCs w:val="18"/>
        </w:rPr>
        <w:t xml:space="preserve"> Voir Chapitre III. </w:t>
      </w:r>
    </w:p>
  </w:footnote>
  <w:footnote w:id="41">
    <w:p>
      <w:pPr>
        <w:pStyle w:val="Notedebasdepage"/>
        <w:jc w:val="both"/>
        <w:rPr>
          <w:sz w:val="18"/>
          <w:szCs w:val="18"/>
        </w:rPr>
      </w:pPr>
      <w:r>
        <w:rPr>
          <w:rStyle w:val="Appelnotedebasdep"/>
          <w:sz w:val="18"/>
          <w:szCs w:val="18"/>
        </w:rPr>
        <w:footnoteRef/>
      </w:r>
      <w:r>
        <w:rPr>
          <w:sz w:val="18"/>
          <w:szCs w:val="18"/>
        </w:rPr>
        <w:t xml:space="preserve"> Voir Chapitre III.</w:t>
      </w:r>
    </w:p>
  </w:footnote>
  <w:footnote w:id="42">
    <w:p>
      <w:pPr>
        <w:pStyle w:val="Notedebasdepage"/>
        <w:jc w:val="both"/>
        <w:rPr>
          <w:sz w:val="18"/>
          <w:szCs w:val="18"/>
        </w:rPr>
      </w:pPr>
      <w:r>
        <w:rPr>
          <w:rStyle w:val="Appelnotedebasdep"/>
          <w:sz w:val="18"/>
          <w:szCs w:val="18"/>
        </w:rPr>
        <w:footnoteRef/>
      </w:r>
      <w:r>
        <w:rPr>
          <w:sz w:val="18"/>
          <w:szCs w:val="18"/>
        </w:rPr>
        <w:t xml:space="preserve"> Voir Chapitre IV, points 2.1.2. </w:t>
      </w:r>
      <w:proofErr w:type="gramStart"/>
      <w:r>
        <w:rPr>
          <w:sz w:val="18"/>
          <w:szCs w:val="18"/>
        </w:rPr>
        <w:t>et</w:t>
      </w:r>
      <w:proofErr w:type="gramEnd"/>
      <w:r>
        <w:rPr>
          <w:sz w:val="18"/>
          <w:szCs w:val="18"/>
        </w:rPr>
        <w:t xml:space="preserve"> 2.2.2.</w:t>
      </w:r>
    </w:p>
  </w:footnote>
  <w:footnote w:id="43">
    <w:p>
      <w:pPr>
        <w:pStyle w:val="Notedebasdepage"/>
        <w:jc w:val="both"/>
        <w:rPr>
          <w:sz w:val="18"/>
          <w:szCs w:val="18"/>
        </w:rPr>
      </w:pPr>
      <w:r>
        <w:rPr>
          <w:rStyle w:val="Appelnotedebasdep"/>
          <w:sz w:val="18"/>
          <w:szCs w:val="18"/>
        </w:rPr>
        <w:footnoteRef/>
      </w:r>
      <w:r>
        <w:rPr>
          <w:sz w:val="18"/>
          <w:szCs w:val="18"/>
        </w:rPr>
        <w:t xml:space="preserve"> Le candidat à une nomination définitive est réputé satisfaire à cette condition aussi longtemps qu’un rapport défavorable n’est pas rédigé à son sujet par le chef d’établissement ou par le délégué pédagogique du pouvoir organisateur.</w:t>
      </w:r>
    </w:p>
  </w:footnote>
  <w:footnote w:id="44">
    <w:p>
      <w:pPr>
        <w:pStyle w:val="Notedebasdepage"/>
        <w:jc w:val="both"/>
        <w:rPr>
          <w:sz w:val="18"/>
          <w:szCs w:val="18"/>
        </w:rPr>
      </w:pPr>
      <w:r>
        <w:rPr>
          <w:rStyle w:val="Appelnotedebasdep"/>
          <w:sz w:val="18"/>
          <w:szCs w:val="18"/>
        </w:rPr>
        <w:footnoteRef/>
      </w:r>
      <w:r>
        <w:rPr>
          <w:sz w:val="18"/>
          <w:szCs w:val="18"/>
        </w:rPr>
        <w:t xml:space="preserve"> Les nominations définitives opèrent leurs effets au plus tard le 1</w:t>
      </w:r>
      <w:r>
        <w:rPr>
          <w:sz w:val="18"/>
          <w:szCs w:val="18"/>
          <w:vertAlign w:val="superscript"/>
        </w:rPr>
        <w:t>er</w:t>
      </w:r>
      <w:r>
        <w:rPr>
          <w:sz w:val="18"/>
          <w:szCs w:val="18"/>
        </w:rPr>
        <w:t xml:space="preserve"> avril 2019.</w:t>
      </w:r>
    </w:p>
  </w:footnote>
  <w:footnote w:id="45">
    <w:p>
      <w:pPr>
        <w:pStyle w:val="Notedebasdepage"/>
        <w:rPr>
          <w:b/>
          <w:sz w:val="18"/>
          <w:szCs w:val="18"/>
          <w:u w:val="single"/>
        </w:rPr>
      </w:pPr>
      <w:r>
        <w:rPr>
          <w:rStyle w:val="Appelnotedebasdep"/>
          <w:b/>
          <w:u w:val="single"/>
        </w:rPr>
        <w:footnoteRef/>
      </w:r>
      <w:r>
        <w:rPr>
          <w:b/>
          <w:u w:val="single"/>
        </w:rPr>
        <w:t xml:space="preserve"> </w:t>
      </w:r>
      <w:r>
        <w:rPr>
          <w:b/>
          <w:sz w:val="18"/>
          <w:szCs w:val="18"/>
          <w:u w:val="single"/>
        </w:rPr>
        <w:t>Un formulaire d’acte de candidature par PO.</w:t>
      </w:r>
    </w:p>
  </w:footnote>
  <w:footnote w:id="46">
    <w:p>
      <w:pPr>
        <w:pStyle w:val="Notedebasdepage"/>
      </w:pPr>
      <w:r>
        <w:rPr>
          <w:rStyle w:val="Appelnotedebasdep"/>
          <w:sz w:val="18"/>
          <w:szCs w:val="18"/>
        </w:rPr>
        <w:footnoteRef/>
      </w:r>
      <w:r>
        <w:rPr>
          <w:sz w:val="18"/>
          <w:szCs w:val="18"/>
        </w:rPr>
        <w:t xml:space="preserve"> Soit le PO porteur de la dépêche d’attribution de</w:t>
      </w:r>
      <w:r>
        <w:t xml:space="preserve"> l’emploi.</w:t>
      </w:r>
    </w:p>
  </w:footnote>
  <w:footnote w:id="47">
    <w:p>
      <w:pPr>
        <w:pStyle w:val="Notedebasdepage"/>
        <w:rPr>
          <w:sz w:val="18"/>
          <w:szCs w:val="18"/>
        </w:rPr>
      </w:pPr>
      <w:r>
        <w:rPr>
          <w:rStyle w:val="Appelnotedebasdep"/>
        </w:rPr>
        <w:footnoteRef/>
      </w:r>
      <w:r>
        <w:t xml:space="preserve"> </w:t>
      </w:r>
      <w:r>
        <w:rPr>
          <w:sz w:val="18"/>
          <w:szCs w:val="18"/>
        </w:rPr>
        <w:t>Répondre OUI :</w:t>
      </w:r>
    </w:p>
    <w:p>
      <w:pPr>
        <w:pStyle w:val="Notedebasdepage"/>
        <w:rPr>
          <w:sz w:val="18"/>
          <w:szCs w:val="18"/>
        </w:rPr>
      </w:pPr>
      <w:r>
        <w:rPr>
          <w:sz w:val="16"/>
          <w:szCs w:val="16"/>
        </w:rPr>
        <w:t>1</w:t>
      </w:r>
      <w:r>
        <w:rPr>
          <w:sz w:val="18"/>
          <w:szCs w:val="18"/>
        </w:rPr>
        <w:t>° si vous ne vous trouvez pas dans le cadre d’un emploi partagé auprès de plusieurs pouvoirs organisateurs ;</w:t>
      </w:r>
    </w:p>
    <w:p>
      <w:pPr>
        <w:pStyle w:val="Notedebasdepage"/>
        <w:rPr>
          <w:sz w:val="18"/>
          <w:szCs w:val="18"/>
        </w:rPr>
      </w:pPr>
      <w:r>
        <w:rPr>
          <w:sz w:val="16"/>
          <w:szCs w:val="16"/>
        </w:rPr>
        <w:t>2</w:t>
      </w:r>
      <w:r>
        <w:rPr>
          <w:sz w:val="18"/>
          <w:szCs w:val="18"/>
        </w:rPr>
        <w:t>° ou si vous vous trouvez dans le cadre d’un emploi partagé auprès de plusieurs pouvoirs organisateurs et que vous ne souhaitez pas valoriser votre ancienneté au prorata auprès d’autres pouvoirs organisateurs.</w:t>
      </w:r>
    </w:p>
  </w:footnote>
  <w:footnote w:id="48">
    <w:p>
      <w:pPr>
        <w:pStyle w:val="Notedebasdepage"/>
      </w:pPr>
      <w:r>
        <w:rPr>
          <w:rStyle w:val="Appelnotedebasdep"/>
          <w:sz w:val="18"/>
          <w:szCs w:val="18"/>
        </w:rPr>
        <w:footnoteRef/>
      </w:r>
      <w:r>
        <w:rPr>
          <w:sz w:val="18"/>
          <w:szCs w:val="18"/>
        </w:rPr>
        <w:t xml:space="preserve"> Biffer la mention inutile.</w:t>
      </w:r>
    </w:p>
  </w:footnote>
  <w:footnote w:id="49">
    <w:p>
      <w:pPr>
        <w:spacing w:after="0" w:line="240" w:lineRule="auto"/>
      </w:pPr>
      <w:r>
        <w:rPr>
          <w:rStyle w:val="Appelnotedebasdep"/>
        </w:rPr>
        <w:footnoteRef/>
      </w:r>
      <w:r>
        <w:t xml:space="preserve"> </w:t>
      </w:r>
      <w:r>
        <w:rPr>
          <w:rFonts w:ascii="Verdana" w:hAnsi="Verdana" w:cs="Arial"/>
          <w:sz w:val="21"/>
          <w:szCs w:val="21"/>
        </w:rPr>
        <w:t>A ne remplir et joindre que dans le cas où vous avez répondu NON au volet I.</w:t>
      </w:r>
    </w:p>
  </w:footnote>
  <w:footnote w:id="50">
    <w:p>
      <w:pPr>
        <w:pStyle w:val="Notedebasdepage"/>
      </w:pPr>
      <w:r>
        <w:rPr>
          <w:rStyle w:val="Appelnotedebasdep"/>
        </w:rPr>
        <w:footnoteRef/>
      </w:r>
      <w:r>
        <w:t xml:space="preserve"> </w:t>
      </w:r>
      <w:r>
        <w:rPr>
          <w:rFonts w:ascii="Verdana" w:hAnsi="Verdana" w:cs="Arial"/>
          <w:sz w:val="21"/>
          <w:szCs w:val="21"/>
        </w:rPr>
        <w:t>Biffer la mention inutile.</w:t>
      </w:r>
    </w:p>
  </w:footnote>
  <w:footnote w:id="51">
    <w:p>
      <w:pPr>
        <w:pStyle w:val="Notedebasdepage"/>
      </w:pPr>
      <w:r>
        <w:rPr>
          <w:rStyle w:val="Appelnotedebasdep"/>
        </w:rPr>
        <w:footnoteRef/>
      </w:r>
      <w:r>
        <w:t xml:space="preserve"> </w:t>
      </w:r>
      <w:r>
        <w:rPr>
          <w:rFonts w:ascii="Verdana" w:hAnsi="Verdana" w:cs="Arial"/>
          <w:sz w:val="21"/>
          <w:szCs w:val="21"/>
        </w:rPr>
        <w:t>A ne remplir que si vous avez répondu OUI au cadre précédent.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47380"/>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D52DC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C92870"/>
    <w:multiLevelType w:val="hybridMultilevel"/>
    <w:tmpl w:val="918AC096"/>
    <w:lvl w:ilvl="0" w:tplc="43625848">
      <w:start w:val="8"/>
      <w:numFmt w:val="bullet"/>
      <w:lvlText w:val="-"/>
      <w:lvlJc w:val="left"/>
      <w:pPr>
        <w:ind w:left="1146" w:hanging="360"/>
      </w:pPr>
      <w:rPr>
        <w:rFonts w:ascii="Arial" w:hAnsi="Arial" w:hint="default"/>
        <w:spacing w:val="-20"/>
        <w:position w:val="0"/>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3" w15:restartNumberingAfterBreak="0">
    <w:nsid w:val="16EE5D57"/>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957375A"/>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D71E2F"/>
    <w:multiLevelType w:val="hybridMultilevel"/>
    <w:tmpl w:val="2F38FC4C"/>
    <w:lvl w:ilvl="0" w:tplc="8DF2FA48">
      <w:start w:val="4"/>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D7F29B0"/>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900CCF"/>
    <w:multiLevelType w:val="hybridMultilevel"/>
    <w:tmpl w:val="A9383B4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32BE7151"/>
    <w:multiLevelType w:val="hybridMultilevel"/>
    <w:tmpl w:val="61AC74EC"/>
    <w:lvl w:ilvl="0" w:tplc="9FFE6906">
      <w:start w:val="4"/>
      <w:numFmt w:val="bullet"/>
      <w:lvlText w:val="-"/>
      <w:lvlJc w:val="left"/>
      <w:pPr>
        <w:ind w:left="720" w:hanging="360"/>
      </w:pPr>
      <w:rPr>
        <w:rFonts w:ascii="Calibri" w:eastAsiaTheme="minorHAnsi"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32BF0ADD"/>
    <w:multiLevelType w:val="hybridMultilevel"/>
    <w:tmpl w:val="DDDCC338"/>
    <w:lvl w:ilvl="0" w:tplc="CAEC442C">
      <w:start w:val="1"/>
      <w:numFmt w:val="upperLetter"/>
      <w:lvlText w:val="%1)"/>
      <w:lvlJc w:val="left"/>
      <w:pPr>
        <w:ind w:left="1065" w:hanging="705"/>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BF3E8B"/>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E4AB9"/>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FD10AA"/>
    <w:multiLevelType w:val="hybridMultilevel"/>
    <w:tmpl w:val="9E8E51E2"/>
    <w:lvl w:ilvl="0" w:tplc="E4122396">
      <w:start w:val="4"/>
      <w:numFmt w:val="bullet"/>
      <w:lvlText w:val="-"/>
      <w:lvlJc w:val="left"/>
      <w:pPr>
        <w:ind w:left="720" w:hanging="360"/>
      </w:pPr>
      <w:rPr>
        <w:rFonts w:ascii="Calibri" w:eastAsiaTheme="minorHAnsi" w:hAnsi="Calibri" w:cs="Calibri" w:hint="default"/>
        <w:b/>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9925C04"/>
    <w:multiLevelType w:val="hybridMultilevel"/>
    <w:tmpl w:val="FC2A72C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400E0E51"/>
    <w:multiLevelType w:val="hybridMultilevel"/>
    <w:tmpl w:val="DDDCC338"/>
    <w:lvl w:ilvl="0" w:tplc="CAEC442C">
      <w:start w:val="1"/>
      <w:numFmt w:val="upperLetter"/>
      <w:lvlText w:val="%1)"/>
      <w:lvlJc w:val="left"/>
      <w:pPr>
        <w:ind w:left="1065" w:hanging="705"/>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41F630BC"/>
    <w:multiLevelType w:val="hybridMultilevel"/>
    <w:tmpl w:val="9918C58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7BA7666"/>
    <w:multiLevelType w:val="hybridMultilevel"/>
    <w:tmpl w:val="9A2E7E4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991005F"/>
    <w:multiLevelType w:val="hybridMultilevel"/>
    <w:tmpl w:val="AE2C7012"/>
    <w:lvl w:ilvl="0" w:tplc="10C6BC3C">
      <w:start w:val="2"/>
      <w:numFmt w:val="bullet"/>
      <w:lvlText w:val="-"/>
      <w:lvlJc w:val="left"/>
      <w:pPr>
        <w:ind w:left="360" w:hanging="360"/>
      </w:pPr>
      <w:rPr>
        <w:rFonts w:ascii="Calibri" w:eastAsia="Calibri"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20" w15:restartNumberingAfterBreak="0">
    <w:nsid w:val="4A9B60E9"/>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7407E96"/>
    <w:multiLevelType w:val="hybridMultilevel"/>
    <w:tmpl w:val="C638EA8E"/>
    <w:lvl w:ilvl="0" w:tplc="CC846D50">
      <w:start w:val="1"/>
      <w:numFmt w:val="decimal"/>
      <w:pStyle w:val="Titre2"/>
      <w:lvlText w:val="%1."/>
      <w:lvlJc w:val="left"/>
      <w:pPr>
        <w:ind w:left="720" w:hanging="360"/>
      </w:pPr>
      <w:rPr>
        <w:b/>
      </w:rPr>
    </w:lvl>
    <w:lvl w:ilvl="1" w:tplc="F5FC4FDA">
      <w:start w:val="1"/>
      <w:numFmt w:val="lowerLetter"/>
      <w:pStyle w:val="Titre3"/>
      <w:lvlText w:val="%2)"/>
      <w:lvlJc w:val="left"/>
      <w:pPr>
        <w:ind w:left="1440" w:hanging="360"/>
      </w:pPr>
      <w:rPr>
        <w:rFonts w:hint="default"/>
      </w:rPr>
    </w:lvl>
    <w:lvl w:ilvl="2" w:tplc="FEB04E64">
      <w:start w:val="1"/>
      <w:numFmt w:val="lowerRoman"/>
      <w:pStyle w:val="Titre4"/>
      <w:lvlText w:val="%3."/>
      <w:lvlJc w:val="right"/>
      <w:pPr>
        <w:ind w:left="2160" w:hanging="180"/>
      </w:pPr>
    </w:lvl>
    <w:lvl w:ilvl="3" w:tplc="080C000F">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5B7D235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E02FB3"/>
    <w:multiLevelType w:val="hybridMultilevel"/>
    <w:tmpl w:val="090EA87A"/>
    <w:lvl w:ilvl="0" w:tplc="57CA4E58">
      <w:start w:val="1"/>
      <w:numFmt w:val="upperLetter"/>
      <w:lvlText w:val="%1)"/>
      <w:lvlJc w:val="left"/>
      <w:pPr>
        <w:ind w:left="708" w:hanging="705"/>
      </w:pPr>
      <w:rPr>
        <w:rFonts w:hint="default"/>
      </w:rPr>
    </w:lvl>
    <w:lvl w:ilvl="1" w:tplc="080C0019" w:tentative="1">
      <w:start w:val="1"/>
      <w:numFmt w:val="lowerLetter"/>
      <w:lvlText w:val="%2."/>
      <w:lvlJc w:val="left"/>
      <w:pPr>
        <w:ind w:left="1083" w:hanging="360"/>
      </w:pPr>
    </w:lvl>
    <w:lvl w:ilvl="2" w:tplc="080C001B" w:tentative="1">
      <w:start w:val="1"/>
      <w:numFmt w:val="lowerRoman"/>
      <w:lvlText w:val="%3."/>
      <w:lvlJc w:val="right"/>
      <w:pPr>
        <w:ind w:left="1803" w:hanging="180"/>
      </w:pPr>
    </w:lvl>
    <w:lvl w:ilvl="3" w:tplc="080C000F" w:tentative="1">
      <w:start w:val="1"/>
      <w:numFmt w:val="decimal"/>
      <w:lvlText w:val="%4."/>
      <w:lvlJc w:val="left"/>
      <w:pPr>
        <w:ind w:left="2523" w:hanging="360"/>
      </w:pPr>
    </w:lvl>
    <w:lvl w:ilvl="4" w:tplc="080C0019" w:tentative="1">
      <w:start w:val="1"/>
      <w:numFmt w:val="lowerLetter"/>
      <w:lvlText w:val="%5."/>
      <w:lvlJc w:val="left"/>
      <w:pPr>
        <w:ind w:left="3243" w:hanging="360"/>
      </w:pPr>
    </w:lvl>
    <w:lvl w:ilvl="5" w:tplc="080C001B" w:tentative="1">
      <w:start w:val="1"/>
      <w:numFmt w:val="lowerRoman"/>
      <w:lvlText w:val="%6."/>
      <w:lvlJc w:val="right"/>
      <w:pPr>
        <w:ind w:left="3963" w:hanging="180"/>
      </w:pPr>
    </w:lvl>
    <w:lvl w:ilvl="6" w:tplc="080C000F" w:tentative="1">
      <w:start w:val="1"/>
      <w:numFmt w:val="decimal"/>
      <w:lvlText w:val="%7."/>
      <w:lvlJc w:val="left"/>
      <w:pPr>
        <w:ind w:left="4683" w:hanging="360"/>
      </w:pPr>
    </w:lvl>
    <w:lvl w:ilvl="7" w:tplc="080C0019" w:tentative="1">
      <w:start w:val="1"/>
      <w:numFmt w:val="lowerLetter"/>
      <w:lvlText w:val="%8."/>
      <w:lvlJc w:val="left"/>
      <w:pPr>
        <w:ind w:left="5403" w:hanging="360"/>
      </w:pPr>
    </w:lvl>
    <w:lvl w:ilvl="8" w:tplc="080C001B" w:tentative="1">
      <w:start w:val="1"/>
      <w:numFmt w:val="lowerRoman"/>
      <w:lvlText w:val="%9."/>
      <w:lvlJc w:val="right"/>
      <w:pPr>
        <w:ind w:left="6123" w:hanging="180"/>
      </w:pPr>
    </w:lvl>
  </w:abstractNum>
  <w:abstractNum w:abstractNumId="24" w15:restartNumberingAfterBreak="0">
    <w:nsid w:val="69BC1A6C"/>
    <w:multiLevelType w:val="hybridMultilevel"/>
    <w:tmpl w:val="BFC45F04"/>
    <w:lvl w:ilvl="0" w:tplc="DA161E04">
      <w:start w:val="2"/>
      <w:numFmt w:val="bullet"/>
      <w:lvlText w:val=""/>
      <w:lvlJc w:val="left"/>
      <w:pPr>
        <w:ind w:left="720" w:hanging="360"/>
      </w:pPr>
      <w:rPr>
        <w:rFonts w:ascii="Wingdings" w:eastAsiaTheme="minorHAnsi" w:hAnsi="Wingdings" w:cstheme="minorHAns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6C6E014E"/>
    <w:multiLevelType w:val="hybridMultilevel"/>
    <w:tmpl w:val="DDDCC338"/>
    <w:lvl w:ilvl="0" w:tplc="CAEC442C">
      <w:start w:val="1"/>
      <w:numFmt w:val="upperLetter"/>
      <w:lvlText w:val="%1)"/>
      <w:lvlJc w:val="left"/>
      <w:pPr>
        <w:ind w:left="1065" w:hanging="705"/>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72601250"/>
    <w:multiLevelType w:val="hybridMultilevel"/>
    <w:tmpl w:val="EAF8BC2A"/>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6C7742F"/>
    <w:multiLevelType w:val="hybridMultilevel"/>
    <w:tmpl w:val="05004DC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9F46953"/>
    <w:multiLevelType w:val="hybridMultilevel"/>
    <w:tmpl w:val="BE6CB57C"/>
    <w:lvl w:ilvl="0" w:tplc="9FFE6906">
      <w:start w:val="4"/>
      <w:numFmt w:val="bullet"/>
      <w:lvlText w:val="-"/>
      <w:lvlJc w:val="left"/>
      <w:pPr>
        <w:ind w:left="785" w:hanging="360"/>
      </w:pPr>
      <w:rPr>
        <w:rFonts w:ascii="Calibri" w:eastAsiaTheme="minorHAnsi"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7C51006F"/>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CCD1736"/>
    <w:multiLevelType w:val="hybridMultilevel"/>
    <w:tmpl w:val="36B05738"/>
    <w:lvl w:ilvl="0" w:tplc="9FFE6906">
      <w:start w:val="4"/>
      <w:numFmt w:val="bullet"/>
      <w:lvlText w:val="-"/>
      <w:lvlJc w:val="left"/>
      <w:pPr>
        <w:ind w:left="720" w:hanging="360"/>
      </w:pPr>
      <w:rPr>
        <w:rFonts w:ascii="Calibri" w:eastAsiaTheme="minorHAnsi"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num>
  <w:num w:numId="3">
    <w:abstractNumId w:val="21"/>
    <w:lvlOverride w:ilvl="0">
      <w:startOverride w:val="1"/>
    </w:lvlOverride>
  </w:num>
  <w:num w:numId="4">
    <w:abstractNumId w:val="21"/>
    <w:lvlOverride w:ilvl="0">
      <w:startOverride w:val="1"/>
    </w:lvlOverride>
  </w:num>
  <w:num w:numId="5">
    <w:abstractNumId w:val="21"/>
    <w:lvlOverride w:ilvl="0">
      <w:startOverride w:val="1"/>
    </w:lvlOverride>
  </w:num>
  <w:num w:numId="6">
    <w:abstractNumId w:val="3"/>
  </w:num>
  <w:num w:numId="7">
    <w:abstractNumId w:val="12"/>
  </w:num>
  <w:num w:numId="8">
    <w:abstractNumId w:val="4"/>
  </w:num>
  <w:num w:numId="9">
    <w:abstractNumId w:val="1"/>
  </w:num>
  <w:num w:numId="10">
    <w:abstractNumId w:val="29"/>
  </w:num>
  <w:num w:numId="11">
    <w:abstractNumId w:val="24"/>
  </w:num>
  <w:num w:numId="12">
    <w:abstractNumId w:val="16"/>
  </w:num>
  <w:num w:numId="13">
    <w:abstractNumId w:val="23"/>
  </w:num>
  <w:num w:numId="14">
    <w:abstractNumId w:val="6"/>
  </w:num>
  <w:num w:numId="15">
    <w:abstractNumId w:val="27"/>
  </w:num>
  <w:num w:numId="16">
    <w:abstractNumId w:val="9"/>
  </w:num>
  <w:num w:numId="17">
    <w:abstractNumId w:val="14"/>
  </w:num>
  <w:num w:numId="18">
    <w:abstractNumId w:val="30"/>
  </w:num>
  <w:num w:numId="19">
    <w:abstractNumId w:val="28"/>
  </w:num>
  <w:num w:numId="20">
    <w:abstractNumId w:val="5"/>
  </w:num>
  <w:num w:numId="21">
    <w:abstractNumId w:val="7"/>
  </w:num>
  <w:num w:numId="22">
    <w:abstractNumId w:val="22"/>
  </w:num>
  <w:num w:numId="23">
    <w:abstractNumId w:val="11"/>
  </w:num>
  <w:num w:numId="24">
    <w:abstractNumId w:val="25"/>
  </w:num>
  <w:num w:numId="25">
    <w:abstractNumId w:val="10"/>
  </w:num>
  <w:num w:numId="26">
    <w:abstractNumId w:val="17"/>
  </w:num>
  <w:num w:numId="27">
    <w:abstractNumId w:val="26"/>
  </w:num>
  <w:num w:numId="28">
    <w:abstractNumId w:val="2"/>
  </w:num>
  <w:num w:numId="29">
    <w:abstractNumId w:val="15"/>
  </w:num>
  <w:num w:numId="30">
    <w:abstractNumId w:val="21"/>
    <w:lvlOverride w:ilvl="0">
      <w:startOverride w:val="1"/>
    </w:lvlOverride>
  </w:num>
  <w:num w:numId="31">
    <w:abstractNumId w:val="20"/>
  </w:num>
  <w:num w:numId="32">
    <w:abstractNumId w:val="0"/>
  </w:num>
  <w:num w:numId="33">
    <w:abstractNumId w:val="8"/>
  </w:num>
  <w:num w:numId="34">
    <w:abstractNumId w:val="19"/>
  </w:num>
  <w:num w:numId="35">
    <w:abstractNumId w:val="18"/>
  </w:num>
  <w:num w:numId="36">
    <w:abstractNumId w:val="13"/>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F55E164B-49F0-430A-AE02-5250DEB2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pBdr>
        <w:top w:val="single" w:sz="4" w:space="1" w:color="auto"/>
        <w:left w:val="single" w:sz="4" w:space="4" w:color="auto"/>
        <w:bottom w:val="single" w:sz="4" w:space="1" w:color="auto"/>
        <w:right w:val="single" w:sz="4" w:space="4" w:color="auto"/>
      </w:pBdr>
      <w:jc w:val="center"/>
      <w:outlineLvl w:val="0"/>
    </w:pPr>
    <w:rPr>
      <w:b/>
      <w:sz w:val="28"/>
      <w:szCs w:val="28"/>
    </w:rPr>
  </w:style>
  <w:style w:type="paragraph" w:styleId="Titre2">
    <w:name w:val="heading 2"/>
    <w:basedOn w:val="Paragraphedeliste"/>
    <w:next w:val="Normal"/>
    <w:link w:val="Titre2Car"/>
    <w:uiPriority w:val="9"/>
    <w:unhideWhenUsed/>
    <w:qFormat/>
    <w:pPr>
      <w:numPr>
        <w:numId w:val="1"/>
      </w:numPr>
      <w:outlineLvl w:val="1"/>
    </w:pPr>
    <w:rPr>
      <w:b/>
      <w:sz w:val="24"/>
      <w:szCs w:val="24"/>
    </w:rPr>
  </w:style>
  <w:style w:type="paragraph" w:styleId="Titre3">
    <w:name w:val="heading 3"/>
    <w:basedOn w:val="Titre2"/>
    <w:next w:val="Normal"/>
    <w:link w:val="Titre3Car"/>
    <w:uiPriority w:val="9"/>
    <w:unhideWhenUsed/>
    <w:qFormat/>
    <w:pPr>
      <w:numPr>
        <w:ilvl w:val="1"/>
      </w:numPr>
      <w:outlineLvl w:val="2"/>
    </w:pPr>
  </w:style>
  <w:style w:type="paragraph" w:styleId="Titre4">
    <w:name w:val="heading 4"/>
    <w:basedOn w:val="Titre3"/>
    <w:next w:val="Normal"/>
    <w:link w:val="Titre4Car"/>
    <w:uiPriority w:val="9"/>
    <w:unhideWhenUsed/>
    <w:qFormat/>
    <w:pPr>
      <w:numPr>
        <w:ilvl w:val="2"/>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b/>
      <w:sz w:val="28"/>
      <w:szCs w:val="28"/>
    </w:rPr>
  </w:style>
  <w:style w:type="paragraph" w:styleId="Paragraphedeliste">
    <w:name w:val="List Paragraph"/>
    <w:basedOn w:val="Normal"/>
    <w:uiPriority w:val="34"/>
    <w:qFormat/>
    <w:pPr>
      <w:ind w:left="720"/>
      <w:contextualSpacing/>
    </w:pPr>
  </w:style>
  <w:style w:type="character" w:customStyle="1" w:styleId="Titre2Car">
    <w:name w:val="Titre 2 Car"/>
    <w:basedOn w:val="Policepardfaut"/>
    <w:link w:val="Titre2"/>
    <w:uiPriority w:val="9"/>
    <w:rPr>
      <w:b/>
      <w:sz w:val="24"/>
      <w:szCs w:val="24"/>
    </w:rPr>
  </w:style>
  <w:style w:type="character" w:customStyle="1" w:styleId="Titre3Car">
    <w:name w:val="Titre 3 Car"/>
    <w:basedOn w:val="Policepardfaut"/>
    <w:link w:val="Titre3"/>
    <w:uiPriority w:val="9"/>
    <w:rPr>
      <w:b/>
      <w:sz w:val="24"/>
      <w:szCs w:val="24"/>
    </w:rPr>
  </w:style>
  <w:style w:type="character" w:customStyle="1" w:styleId="Titre4Car">
    <w:name w:val="Titre 4 Car"/>
    <w:basedOn w:val="Policepardfaut"/>
    <w:link w:val="Titre4"/>
    <w:uiPriority w:val="9"/>
    <w:rPr>
      <w:b/>
      <w:sz w:val="24"/>
      <w:szCs w:val="24"/>
    </w:rPr>
  </w:style>
  <w:style w:type="paragraph" w:styleId="TM1">
    <w:name w:val="toc 1"/>
    <w:basedOn w:val="Normal"/>
    <w:next w:val="Normal"/>
    <w:autoRedefine/>
    <w:uiPriority w:val="39"/>
    <w:unhideWhenUsed/>
    <w:pPr>
      <w:tabs>
        <w:tab w:val="right" w:leader="dot" w:pos="9062"/>
      </w:tabs>
      <w:spacing w:before="120" w:after="120"/>
    </w:pPr>
    <w:rPr>
      <w:rFonts w:cstheme="minorHAnsi"/>
      <w:b/>
      <w:bCs/>
      <w:caps/>
      <w:sz w:val="20"/>
      <w:szCs w:val="20"/>
    </w:rPr>
  </w:style>
  <w:style w:type="paragraph" w:styleId="TM2">
    <w:name w:val="toc 2"/>
    <w:basedOn w:val="Normal"/>
    <w:next w:val="Normal"/>
    <w:autoRedefine/>
    <w:uiPriority w:val="39"/>
    <w:unhideWhenUsed/>
    <w:pPr>
      <w:spacing w:after="0"/>
      <w:ind w:left="220"/>
    </w:pPr>
    <w:rPr>
      <w:rFonts w:cstheme="minorHAnsi"/>
      <w:smallCaps/>
      <w:sz w:val="20"/>
      <w:szCs w:val="20"/>
    </w:rPr>
  </w:style>
  <w:style w:type="paragraph" w:styleId="TM3">
    <w:name w:val="toc 3"/>
    <w:basedOn w:val="Normal"/>
    <w:next w:val="Normal"/>
    <w:autoRedefine/>
    <w:uiPriority w:val="39"/>
    <w:unhideWhenUsed/>
    <w:pPr>
      <w:spacing w:after="0"/>
      <w:ind w:left="440"/>
    </w:pPr>
    <w:rPr>
      <w:rFonts w:cstheme="minorHAnsi"/>
      <w:i/>
      <w:iCs/>
      <w:sz w:val="20"/>
      <w:szCs w:val="20"/>
    </w:rPr>
  </w:style>
  <w:style w:type="paragraph" w:styleId="TM4">
    <w:name w:val="toc 4"/>
    <w:basedOn w:val="Normal"/>
    <w:next w:val="Normal"/>
    <w:autoRedefine/>
    <w:uiPriority w:val="39"/>
    <w:unhideWhenUsed/>
    <w:pPr>
      <w:spacing w:after="0"/>
      <w:ind w:left="660"/>
    </w:pPr>
    <w:rPr>
      <w:rFonts w:cstheme="minorHAnsi"/>
      <w:sz w:val="18"/>
      <w:szCs w:val="18"/>
    </w:rPr>
  </w:style>
  <w:style w:type="character" w:styleId="Lienhypertexte">
    <w:name w:val="Hyperlink"/>
    <w:basedOn w:val="Policepardfaut"/>
    <w:uiPriority w:val="99"/>
    <w:unhideWhenUsed/>
    <w:rPr>
      <w:color w:val="0563C1" w:themeColor="hyperlink"/>
      <w:u w:val="single"/>
    </w:rPr>
  </w:style>
  <w:style w:type="paragraph" w:styleId="TM5">
    <w:name w:val="toc 5"/>
    <w:basedOn w:val="Normal"/>
    <w:next w:val="Normal"/>
    <w:autoRedefine/>
    <w:uiPriority w:val="39"/>
    <w:unhideWhenUsed/>
    <w:pPr>
      <w:spacing w:after="0"/>
      <w:ind w:left="880"/>
    </w:pPr>
    <w:rPr>
      <w:rFonts w:cstheme="minorHAnsi"/>
      <w:sz w:val="18"/>
      <w:szCs w:val="18"/>
    </w:rPr>
  </w:style>
  <w:style w:type="paragraph" w:styleId="TM6">
    <w:name w:val="toc 6"/>
    <w:basedOn w:val="Normal"/>
    <w:next w:val="Normal"/>
    <w:autoRedefine/>
    <w:uiPriority w:val="39"/>
    <w:unhideWhenUsed/>
    <w:pPr>
      <w:spacing w:after="0"/>
      <w:ind w:left="1100"/>
    </w:pPr>
    <w:rPr>
      <w:rFonts w:cstheme="minorHAnsi"/>
      <w:sz w:val="18"/>
      <w:szCs w:val="18"/>
    </w:rPr>
  </w:style>
  <w:style w:type="paragraph" w:styleId="TM7">
    <w:name w:val="toc 7"/>
    <w:basedOn w:val="Normal"/>
    <w:next w:val="Normal"/>
    <w:autoRedefine/>
    <w:uiPriority w:val="39"/>
    <w:unhideWhenUsed/>
    <w:pPr>
      <w:spacing w:after="0"/>
      <w:ind w:left="1320"/>
    </w:pPr>
    <w:rPr>
      <w:rFonts w:cstheme="minorHAnsi"/>
      <w:sz w:val="18"/>
      <w:szCs w:val="18"/>
    </w:rPr>
  </w:style>
  <w:style w:type="paragraph" w:styleId="TM8">
    <w:name w:val="toc 8"/>
    <w:basedOn w:val="Normal"/>
    <w:next w:val="Normal"/>
    <w:autoRedefine/>
    <w:uiPriority w:val="39"/>
    <w:unhideWhenUsed/>
    <w:pPr>
      <w:spacing w:after="0"/>
      <w:ind w:left="1540"/>
    </w:pPr>
    <w:rPr>
      <w:rFonts w:cstheme="minorHAnsi"/>
      <w:sz w:val="18"/>
      <w:szCs w:val="18"/>
    </w:rPr>
  </w:style>
  <w:style w:type="paragraph" w:styleId="TM9">
    <w:name w:val="toc 9"/>
    <w:basedOn w:val="Normal"/>
    <w:next w:val="Normal"/>
    <w:autoRedefine/>
    <w:uiPriority w:val="39"/>
    <w:unhideWhenUsed/>
    <w:pPr>
      <w:spacing w:after="0"/>
      <w:ind w:left="1760"/>
    </w:pPr>
    <w:rPr>
      <w:rFonts w:cstheme="minorHAnsi"/>
      <w:sz w:val="18"/>
      <w:szCs w:val="18"/>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Notedebasdepage">
    <w:name w:val="footnote text"/>
    <w:basedOn w:val="Normal"/>
    <w:link w:val="NotedebasdepageCar"/>
    <w:unhideWhenUsed/>
    <w:pPr>
      <w:spacing w:after="0" w:line="240" w:lineRule="auto"/>
    </w:pPr>
    <w:rPr>
      <w:sz w:val="20"/>
      <w:szCs w:val="20"/>
    </w:rPr>
  </w:style>
  <w:style w:type="character" w:customStyle="1" w:styleId="NotedebasdepageCar">
    <w:name w:val="Note de bas de page Car"/>
    <w:basedOn w:val="Policepardfaut"/>
    <w:link w:val="Notedebasdepage"/>
    <w:rPr>
      <w:sz w:val="20"/>
      <w:szCs w:val="20"/>
    </w:rPr>
  </w:style>
  <w:style w:type="character" w:styleId="Appelnotedebasdep">
    <w:name w:val="footnote reference"/>
    <w:basedOn w:val="Policepardfaut"/>
    <w:unhideWhenUsed/>
    <w:rPr>
      <w:vertAlign w:val="superscript"/>
    </w:rPr>
  </w:style>
  <w:style w:type="paragraph" w:styleId="Sansinterligne">
    <w:name w:val="No Spacing"/>
    <w:uiPriority w:val="1"/>
    <w:qFormat/>
    <w:pPr>
      <w:spacing w:after="0" w:line="240" w:lineRule="auto"/>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765794">
      <w:bodyDiv w:val="1"/>
      <w:marLeft w:val="0"/>
      <w:marRight w:val="0"/>
      <w:marTop w:val="0"/>
      <w:marBottom w:val="0"/>
      <w:divBdr>
        <w:top w:val="none" w:sz="0" w:space="0" w:color="auto"/>
        <w:left w:val="none" w:sz="0" w:space="0" w:color="auto"/>
        <w:bottom w:val="none" w:sz="0" w:space="0" w:color="auto"/>
        <w:right w:val="none" w:sz="0" w:space="0" w:color="auto"/>
      </w:divBdr>
    </w:div>
    <w:div w:id="632953794">
      <w:bodyDiv w:val="1"/>
      <w:marLeft w:val="0"/>
      <w:marRight w:val="0"/>
      <w:marTop w:val="0"/>
      <w:marBottom w:val="0"/>
      <w:divBdr>
        <w:top w:val="none" w:sz="0" w:space="0" w:color="auto"/>
        <w:left w:val="none" w:sz="0" w:space="0" w:color="auto"/>
        <w:bottom w:val="none" w:sz="0" w:space="0" w:color="auto"/>
        <w:right w:val="none" w:sz="0" w:space="0" w:color="auto"/>
      </w:divBdr>
    </w:div>
    <w:div w:id="1802528408">
      <w:bodyDiv w:val="1"/>
      <w:marLeft w:val="0"/>
      <w:marRight w:val="0"/>
      <w:marTop w:val="0"/>
      <w:marBottom w:val="0"/>
      <w:divBdr>
        <w:top w:val="none" w:sz="0" w:space="0" w:color="auto"/>
        <w:left w:val="none" w:sz="0" w:space="0" w:color="auto"/>
        <w:bottom w:val="none" w:sz="0" w:space="0" w:color="auto"/>
        <w:right w:val="none" w:sz="0" w:space="0" w:color="auto"/>
      </w:divBdr>
    </w:div>
    <w:div w:id="1813130054">
      <w:bodyDiv w:val="1"/>
      <w:marLeft w:val="0"/>
      <w:marRight w:val="0"/>
      <w:marTop w:val="0"/>
      <w:marBottom w:val="0"/>
      <w:divBdr>
        <w:top w:val="none" w:sz="0" w:space="0" w:color="auto"/>
        <w:left w:val="none" w:sz="0" w:space="0" w:color="auto"/>
        <w:bottom w:val="none" w:sz="0" w:space="0" w:color="auto"/>
        <w:right w:val="none" w:sz="0" w:space="0" w:color="auto"/>
      </w:divBdr>
      <w:divsChild>
        <w:div w:id="75253029">
          <w:marLeft w:val="0"/>
          <w:marRight w:val="0"/>
          <w:marTop w:val="0"/>
          <w:marBottom w:val="0"/>
          <w:divBdr>
            <w:top w:val="none" w:sz="0" w:space="0" w:color="auto"/>
            <w:left w:val="none" w:sz="0" w:space="0" w:color="auto"/>
            <w:bottom w:val="none" w:sz="0" w:space="0" w:color="auto"/>
            <w:right w:val="none" w:sz="0" w:space="0" w:color="auto"/>
          </w:divBdr>
        </w:div>
        <w:div w:id="699555606">
          <w:marLeft w:val="0"/>
          <w:marRight w:val="0"/>
          <w:marTop w:val="0"/>
          <w:marBottom w:val="0"/>
          <w:divBdr>
            <w:top w:val="none" w:sz="0" w:space="0" w:color="auto"/>
            <w:left w:val="none" w:sz="0" w:space="0" w:color="auto"/>
            <w:bottom w:val="none" w:sz="0" w:space="0" w:color="auto"/>
            <w:right w:val="none" w:sz="0" w:space="0" w:color="auto"/>
          </w:divBdr>
        </w:div>
        <w:div w:id="1899436306">
          <w:marLeft w:val="0"/>
          <w:marRight w:val="0"/>
          <w:marTop w:val="0"/>
          <w:marBottom w:val="0"/>
          <w:divBdr>
            <w:top w:val="none" w:sz="0" w:space="0" w:color="auto"/>
            <w:left w:val="none" w:sz="0" w:space="0" w:color="auto"/>
            <w:bottom w:val="none" w:sz="0" w:space="0" w:color="auto"/>
            <w:right w:val="none" w:sz="0" w:space="0" w:color="auto"/>
          </w:divBdr>
        </w:div>
        <w:div w:id="1502240274">
          <w:marLeft w:val="0"/>
          <w:marRight w:val="0"/>
          <w:marTop w:val="0"/>
          <w:marBottom w:val="0"/>
          <w:divBdr>
            <w:top w:val="none" w:sz="0" w:space="0" w:color="auto"/>
            <w:left w:val="none" w:sz="0" w:space="0" w:color="auto"/>
            <w:bottom w:val="none" w:sz="0" w:space="0" w:color="auto"/>
            <w:right w:val="none" w:sz="0" w:space="0" w:color="auto"/>
          </w:divBdr>
        </w:div>
        <w:div w:id="1855344884">
          <w:marLeft w:val="0"/>
          <w:marRight w:val="0"/>
          <w:marTop w:val="0"/>
          <w:marBottom w:val="0"/>
          <w:divBdr>
            <w:top w:val="none" w:sz="0" w:space="0" w:color="auto"/>
            <w:left w:val="none" w:sz="0" w:space="0" w:color="auto"/>
            <w:bottom w:val="none" w:sz="0" w:space="0" w:color="auto"/>
            <w:right w:val="none" w:sz="0" w:space="0" w:color="auto"/>
          </w:divBdr>
        </w:div>
        <w:div w:id="1155880070">
          <w:marLeft w:val="0"/>
          <w:marRight w:val="0"/>
          <w:marTop w:val="0"/>
          <w:marBottom w:val="0"/>
          <w:divBdr>
            <w:top w:val="none" w:sz="0" w:space="0" w:color="auto"/>
            <w:left w:val="none" w:sz="0" w:space="0" w:color="auto"/>
            <w:bottom w:val="none" w:sz="0" w:space="0" w:color="auto"/>
            <w:right w:val="none" w:sz="0" w:space="0" w:color="auto"/>
          </w:divBdr>
        </w:div>
        <w:div w:id="1071007808">
          <w:marLeft w:val="0"/>
          <w:marRight w:val="0"/>
          <w:marTop w:val="0"/>
          <w:marBottom w:val="0"/>
          <w:divBdr>
            <w:top w:val="none" w:sz="0" w:space="0" w:color="auto"/>
            <w:left w:val="none" w:sz="0" w:space="0" w:color="auto"/>
            <w:bottom w:val="none" w:sz="0" w:space="0" w:color="auto"/>
            <w:right w:val="none" w:sz="0" w:space="0" w:color="auto"/>
          </w:divBdr>
        </w:div>
      </w:divsChild>
    </w:div>
    <w:div w:id="202435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UPSY@gov.cfwb.be" TargetMode="External"/><Relationship Id="rId18" Type="http://schemas.openxmlformats.org/officeDocument/2006/relationships/hyperlink" Target="mailto:fabienne.devleeshouwer@cfwb.b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iviane.lamberts@cfwb.be" TargetMode="External"/><Relationship Id="rId7" Type="http://schemas.openxmlformats.org/officeDocument/2006/relationships/endnotes" Target="endnotes.xml"/><Relationship Id="rId12" Type="http://schemas.openxmlformats.org/officeDocument/2006/relationships/hyperlink" Target="mailto:jennifer.titeux@cfwb.be" TargetMode="External"/><Relationship Id="rId17" Type="http://schemas.openxmlformats.org/officeDocument/2006/relationships/hyperlink" Target="mailto:martine.vandenbussche@cfwb.b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yvon.beugnies@cfwb.be" TargetMode="External"/><Relationship Id="rId20" Type="http://schemas.openxmlformats.org/officeDocument/2006/relationships/hyperlink" Target="mailto:anne.dubois@cfw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PSY@gov.cfwb.be" TargetMode="External"/><Relationship Id="rId24" Type="http://schemas.openxmlformats.org/officeDocument/2006/relationships/hyperlink" Target="mailto:catherine.blavier@cfwb.be" TargetMode="External"/><Relationship Id="rId5" Type="http://schemas.openxmlformats.org/officeDocument/2006/relationships/webSettings" Target="webSettings.xml"/><Relationship Id="rId15" Type="http://schemas.openxmlformats.org/officeDocument/2006/relationships/hyperlink" Target="mailto:martine.poisseroux@cfwb.be" TargetMode="External"/><Relationship Id="rId23" Type="http://schemas.openxmlformats.org/officeDocument/2006/relationships/hyperlink" Target="mailto:annabelle.petit@cfwb.be" TargetMode="External"/><Relationship Id="rId10" Type="http://schemas.openxmlformats.org/officeDocument/2006/relationships/hyperlink" Target="mailto:galhia.ennseiri@cfwb.be" TargetMode="External"/><Relationship Id="rId19" Type="http://schemas.openxmlformats.org/officeDocument/2006/relationships/hyperlink" Target="mailto:philippe.truye@cfwb.b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ernard.verkercke@cfwb.be" TargetMode="External"/><Relationship Id="rId22" Type="http://schemas.openxmlformats.org/officeDocument/2006/relationships/hyperlink" Target="mailto:nathalie.todde@cfwb.b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nseignement.be/index.php?page=26823&amp;do_id=6592" TargetMode="External"/><Relationship Id="rId2" Type="http://schemas.openxmlformats.org/officeDocument/2006/relationships/hyperlink" Target="http://enseignement.be/index.php?page=26823&amp;do_id=6502" TargetMode="External"/><Relationship Id="rId1" Type="http://schemas.openxmlformats.org/officeDocument/2006/relationships/hyperlink" Target="mailto:bernard.verkercke@cfwb.be" TargetMode="External"/><Relationship Id="rId4" Type="http://schemas.openxmlformats.org/officeDocument/2006/relationships/hyperlink" Target="http://www.enseignement.be/index.php?page=2770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65315-99C9-40CA-95F6-03D6AEC5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15306</Words>
  <Characters>84184</Characters>
  <Application>Microsoft Office Word</Application>
  <DocSecurity>0</DocSecurity>
  <Lines>701</Lines>
  <Paragraphs>198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SADIN Emilie</dc:creator>
  <cp:lastModifiedBy>ROLAND Pierre</cp:lastModifiedBy>
  <cp:revision>5</cp:revision>
  <cp:lastPrinted>2018-06-01T07:26:00Z</cp:lastPrinted>
  <dcterms:created xsi:type="dcterms:W3CDTF">2018-05-31T14:15:00Z</dcterms:created>
  <dcterms:modified xsi:type="dcterms:W3CDTF">2018-06-01T07:27:00Z</dcterms:modified>
</cp:coreProperties>
</file>